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A0" w:rsidRPr="00D90FAA" w:rsidRDefault="00654BA0" w:rsidP="00FF016F">
      <w:pPr>
        <w:spacing w:after="0" w:line="288" w:lineRule="auto"/>
        <w:jc w:val="both"/>
        <w:rPr>
          <w:b/>
          <w:sz w:val="24"/>
          <w:szCs w:val="24"/>
        </w:rPr>
      </w:pPr>
      <w:r w:rsidRPr="00D90FAA">
        <w:rPr>
          <w:b/>
          <w:sz w:val="24"/>
          <w:szCs w:val="24"/>
        </w:rPr>
        <w:t>ESTADO DE SANTA CATARINA</w:t>
      </w:r>
    </w:p>
    <w:p w:rsidR="00654BA0" w:rsidRPr="00D90FAA" w:rsidRDefault="00C47B37" w:rsidP="00FF016F">
      <w:pPr>
        <w:spacing w:after="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MUNICÍPIO DE ÁGUAS FRIAS</w:t>
      </w:r>
    </w:p>
    <w:p w:rsidR="00654BA0" w:rsidRPr="00D90FAA" w:rsidRDefault="00654BA0" w:rsidP="00FF016F">
      <w:pPr>
        <w:spacing w:after="0" w:line="288" w:lineRule="auto"/>
        <w:jc w:val="both"/>
        <w:rPr>
          <w:b/>
          <w:sz w:val="24"/>
          <w:szCs w:val="24"/>
        </w:rPr>
      </w:pPr>
    </w:p>
    <w:p w:rsidR="00654BA0" w:rsidRPr="00D90FAA" w:rsidRDefault="00654BA0" w:rsidP="00FF016F">
      <w:pPr>
        <w:spacing w:after="0" w:line="288" w:lineRule="auto"/>
        <w:jc w:val="both"/>
        <w:rPr>
          <w:b/>
          <w:sz w:val="24"/>
          <w:szCs w:val="24"/>
        </w:rPr>
      </w:pPr>
    </w:p>
    <w:p w:rsidR="00654BA0" w:rsidRDefault="002E5470" w:rsidP="00FF016F">
      <w:pPr>
        <w:spacing w:after="0" w:line="288" w:lineRule="auto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PROCESSO Nº 32/2021</w:t>
      </w:r>
    </w:p>
    <w:p w:rsidR="002E5470" w:rsidRPr="00D90FAA" w:rsidRDefault="002E5470" w:rsidP="00FF016F">
      <w:pPr>
        <w:spacing w:after="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17/2021</w:t>
      </w:r>
    </w:p>
    <w:bookmarkEnd w:id="0"/>
    <w:p w:rsidR="00BA5CD6" w:rsidRDefault="00BA5CD6" w:rsidP="00FF016F">
      <w:pPr>
        <w:spacing w:after="0" w:line="288" w:lineRule="auto"/>
        <w:jc w:val="both"/>
        <w:rPr>
          <w:b/>
          <w:sz w:val="24"/>
          <w:szCs w:val="24"/>
        </w:rPr>
      </w:pPr>
    </w:p>
    <w:p w:rsidR="002E5470" w:rsidRDefault="002E5470" w:rsidP="00FF016F">
      <w:pPr>
        <w:spacing w:after="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PARECER JURÍDICO: IMPUGNAÇÃO AO EDITAL</w:t>
      </w:r>
    </w:p>
    <w:p w:rsidR="002E5470" w:rsidRDefault="002E5470" w:rsidP="00FF016F">
      <w:pPr>
        <w:spacing w:after="0" w:line="288" w:lineRule="auto"/>
        <w:jc w:val="both"/>
        <w:rPr>
          <w:b/>
          <w:sz w:val="24"/>
          <w:szCs w:val="24"/>
        </w:rPr>
      </w:pPr>
    </w:p>
    <w:p w:rsidR="00C10893" w:rsidRDefault="00933933" w:rsidP="00FF016F">
      <w:pPr>
        <w:spacing w:after="0" w:line="288" w:lineRule="auto"/>
        <w:ind w:firstLine="2268"/>
        <w:jc w:val="both"/>
        <w:rPr>
          <w:sz w:val="24"/>
          <w:szCs w:val="24"/>
        </w:rPr>
      </w:pPr>
      <w:r w:rsidRPr="00D90FAA">
        <w:rPr>
          <w:sz w:val="24"/>
          <w:szCs w:val="24"/>
        </w:rPr>
        <w:t xml:space="preserve">A empresa </w:t>
      </w:r>
      <w:r w:rsidR="002E5470">
        <w:rPr>
          <w:sz w:val="24"/>
          <w:szCs w:val="24"/>
        </w:rPr>
        <w:t>PÚBLICA ASSESSORIA EM CONTABILIDADE E GESTÃO EIRELI apresentou impugnação ao edital do processo licitatório supra, alegando, em síntese, a necessidade de exigir da empresa participante o Registro Cadastral no Conselho Regional de Contabilidade, conforme disciplina a Resolução nº 1.390/2012 do Conselho Federal de Contabilidade, bem como alegou a impossibilidade de contratação do objeto pela modalidade licitatória de Pregão, haja vista que o serviço licitado não se trata de serviço comum conforme disciplinado na Lei 10/520/2002.</w:t>
      </w:r>
    </w:p>
    <w:p w:rsidR="002E5470" w:rsidRDefault="002E5470" w:rsidP="00FF016F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2E5470" w:rsidRDefault="002E5470" w:rsidP="00FF016F">
      <w:pPr>
        <w:spacing w:after="0"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se depreende do edital, o objeto da licitação é a “contratação de serviços de assessoria e apoio técnico a controladoria interna, contabilidade, patrimônio, recursos humanos, tesouraria e licitações”. </w:t>
      </w:r>
    </w:p>
    <w:p w:rsidR="002E5470" w:rsidRDefault="002E5470" w:rsidP="00FF016F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2E5470" w:rsidRDefault="002E5470" w:rsidP="00F84D2C">
      <w:pPr>
        <w:spacing w:after="0"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Primeiramente, quanto à impugnação a modalidade de licitação adotada, é preciso lembrar que o pregão é </w:t>
      </w:r>
      <w:proofErr w:type="gramStart"/>
      <w:r>
        <w:rPr>
          <w:sz w:val="24"/>
          <w:szCs w:val="24"/>
        </w:rPr>
        <w:t xml:space="preserve">a modalidade de licitação </w:t>
      </w:r>
      <w:r w:rsidRPr="00F84D2C">
        <w:rPr>
          <w:i/>
          <w:sz w:val="24"/>
          <w:szCs w:val="24"/>
        </w:rPr>
        <w:t>“Para aquisição de bens e serviços comuns</w:t>
      </w:r>
      <w:r w:rsidR="00F84D2C">
        <w:rPr>
          <w:sz w:val="24"/>
          <w:szCs w:val="24"/>
        </w:rPr>
        <w:t>”</w:t>
      </w:r>
      <w:r w:rsidRPr="002E5470">
        <w:rPr>
          <w:sz w:val="24"/>
          <w:szCs w:val="24"/>
        </w:rPr>
        <w:t>,</w:t>
      </w:r>
      <w:r w:rsidR="00F84D2C">
        <w:rPr>
          <w:sz w:val="24"/>
          <w:szCs w:val="24"/>
        </w:rPr>
        <w:t xml:space="preserve"> assim considerados</w:t>
      </w:r>
      <w:proofErr w:type="gramEnd"/>
      <w:r w:rsidR="00F84D2C">
        <w:rPr>
          <w:sz w:val="24"/>
          <w:szCs w:val="24"/>
        </w:rPr>
        <w:t xml:space="preserve"> </w:t>
      </w:r>
      <w:r w:rsidR="00F84D2C" w:rsidRPr="00F84D2C">
        <w:rPr>
          <w:i/>
          <w:sz w:val="24"/>
          <w:szCs w:val="24"/>
        </w:rPr>
        <w:t>“</w:t>
      </w:r>
      <w:r w:rsidRPr="002E5470">
        <w:rPr>
          <w:i/>
          <w:sz w:val="24"/>
          <w:szCs w:val="24"/>
        </w:rPr>
        <w:t>aqueles cujos padrões de desempenho e qualidade possam ser objetivamente definidos pelo edital, por meio de especificações usuais no mercado</w:t>
      </w:r>
      <w:r w:rsidR="00F84D2C">
        <w:rPr>
          <w:sz w:val="24"/>
          <w:szCs w:val="24"/>
        </w:rPr>
        <w:t>” (art. 1º e § 1º, da Lei 10.520/2002)</w:t>
      </w:r>
      <w:r w:rsidRPr="002E5470">
        <w:rPr>
          <w:sz w:val="24"/>
          <w:szCs w:val="24"/>
        </w:rPr>
        <w:t>.</w:t>
      </w:r>
    </w:p>
    <w:p w:rsidR="00F84D2C" w:rsidRDefault="00F84D2C" w:rsidP="00F84D2C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F84D2C" w:rsidRDefault="006E537B" w:rsidP="00F84D2C">
      <w:pPr>
        <w:spacing w:after="0"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base na conceituação definida em lei, embora seja ampla e permita interpretações, entendo que o objeto da licitação realmente não possa ser definido como serviço comum e, portanto, não pode ser objeto de licitação na modalidade pregão. Isto porque o serviço a ser contratado é extremamente complexo, variável conforme demanda do município, técnico, cujas soluções deverão ser propostas </w:t>
      </w:r>
      <w:r w:rsidRPr="006E537B">
        <w:rPr>
          <w:sz w:val="24"/>
          <w:szCs w:val="24"/>
        </w:rPr>
        <w:t>diretamente pelo próprio contratado</w:t>
      </w:r>
      <w:r>
        <w:rPr>
          <w:sz w:val="24"/>
          <w:szCs w:val="24"/>
        </w:rPr>
        <w:t>, o que envolve a capacidade técnica do contratado</w:t>
      </w:r>
      <w:r w:rsidRPr="006E537B">
        <w:rPr>
          <w:sz w:val="24"/>
          <w:szCs w:val="24"/>
        </w:rPr>
        <w:t>.</w:t>
      </w:r>
    </w:p>
    <w:p w:rsidR="006E537B" w:rsidRDefault="006E537B" w:rsidP="00F84D2C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6E537B" w:rsidRDefault="006E537B" w:rsidP="00F84D2C">
      <w:pPr>
        <w:spacing w:after="0"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tratativa de conceituação de serviços comuns a doutrina conclui que: </w:t>
      </w:r>
      <w:proofErr w:type="gramStart"/>
      <w:r>
        <w:rPr>
          <w:sz w:val="24"/>
          <w:szCs w:val="24"/>
        </w:rPr>
        <w:t>“</w:t>
      </w:r>
      <w:r w:rsidRPr="006E537B">
        <w:rPr>
          <w:i/>
          <w:sz w:val="24"/>
          <w:szCs w:val="24"/>
        </w:rPr>
        <w:t>Fundamentalmente, se a contratação envolve obras e serviços de engenharia e serviços intelectuais, não é possível adotar o pregão.</w:t>
      </w:r>
      <w:proofErr w:type="gramEnd"/>
      <w:r w:rsidRPr="006E537B">
        <w:rPr>
          <w:i/>
          <w:sz w:val="24"/>
          <w:szCs w:val="24"/>
        </w:rPr>
        <w:t xml:space="preserve"> Mas existem outros serviços que não são intelectuais e não são de engenharia e que, igualmente, não </w:t>
      </w:r>
      <w:r w:rsidRPr="006E537B">
        <w:rPr>
          <w:i/>
          <w:sz w:val="24"/>
          <w:szCs w:val="24"/>
        </w:rPr>
        <w:lastRenderedPageBreak/>
        <w:t>devem ser licitados por pregão, muito embora isso esteja acontecendo</w:t>
      </w:r>
      <w:r w:rsidRPr="006E537B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Pr="006E537B">
        <w:rPr>
          <w:i/>
          <w:iCs/>
          <w:sz w:val="24"/>
          <w:szCs w:val="24"/>
        </w:rPr>
        <w:t>O Regime Jurídico da Contratação Pública</w:t>
      </w:r>
      <w:r w:rsidRPr="006E537B">
        <w:rPr>
          <w:sz w:val="24"/>
          <w:szCs w:val="24"/>
        </w:rPr>
        <w:t>. Zênite, 2008</w:t>
      </w:r>
      <w:r>
        <w:rPr>
          <w:sz w:val="24"/>
          <w:szCs w:val="24"/>
        </w:rPr>
        <w:t>).</w:t>
      </w:r>
    </w:p>
    <w:p w:rsidR="006E537B" w:rsidRDefault="006E537B" w:rsidP="00F84D2C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6E537B" w:rsidRDefault="006E537B" w:rsidP="00F84D2C">
      <w:pPr>
        <w:spacing w:after="0"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tenho que realmente a modalidade de pregão não é a adequada para contratação do serviço ora licitado, devendo a licitação ser anulada por ilegalidade nos termos do artigo 49, </w:t>
      </w:r>
      <w:r>
        <w:rPr>
          <w:i/>
          <w:sz w:val="24"/>
          <w:szCs w:val="24"/>
        </w:rPr>
        <w:t>caput,</w:t>
      </w:r>
      <w:r w:rsidR="0063588E">
        <w:rPr>
          <w:sz w:val="24"/>
          <w:szCs w:val="24"/>
        </w:rPr>
        <w:t xml:space="preserve"> da Lei 8.666/93, devendo ser lançada nova licitação na modalidade Tomada de Preços, em conformidade com o disposto na Lei de Licitações.</w:t>
      </w:r>
    </w:p>
    <w:p w:rsidR="0063588E" w:rsidRDefault="0063588E" w:rsidP="00F84D2C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63588E" w:rsidRPr="002E5470" w:rsidRDefault="0063588E" w:rsidP="00F84D2C">
      <w:pPr>
        <w:spacing w:after="0"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No que tange à alegação de necessidade de exigência de inscrição da participante no CRC, devido à anulação da licitação o pedido perde seu objeto. No entanto, já sugiro para o próximo edital, que, caso esteja no objeto da licitação o desempenho de atividades contábeis, que se formule a exigência para que o participante seja devidamente cadastrado no conselho de classe, nos termos da Resolução CFC nº 1.390/2012.</w:t>
      </w:r>
    </w:p>
    <w:p w:rsidR="002E5470" w:rsidRDefault="002E5470" w:rsidP="00FF016F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63588E" w:rsidRDefault="0063588E" w:rsidP="00FF016F">
      <w:pPr>
        <w:spacing w:after="0" w:line="288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Salvo melhor juízo, é o parecer. </w:t>
      </w:r>
    </w:p>
    <w:p w:rsidR="0063588E" w:rsidRPr="00D90FAA" w:rsidRDefault="0063588E" w:rsidP="00FF016F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034593" w:rsidRDefault="009B6DD5" w:rsidP="00FF016F">
      <w:pPr>
        <w:spacing w:after="0" w:line="288" w:lineRule="auto"/>
        <w:ind w:firstLine="2268"/>
        <w:jc w:val="both"/>
        <w:rPr>
          <w:sz w:val="24"/>
          <w:szCs w:val="24"/>
        </w:rPr>
      </w:pPr>
      <w:r w:rsidRPr="00D90FAA">
        <w:rPr>
          <w:sz w:val="24"/>
          <w:szCs w:val="24"/>
        </w:rPr>
        <w:t xml:space="preserve">Águas Frias, SC, </w:t>
      </w:r>
      <w:r w:rsidR="0063588E">
        <w:rPr>
          <w:sz w:val="24"/>
          <w:szCs w:val="24"/>
        </w:rPr>
        <w:t>25 de maio de 2021.</w:t>
      </w:r>
    </w:p>
    <w:p w:rsidR="00D90FAA" w:rsidRPr="00D90FAA" w:rsidRDefault="00D90FAA" w:rsidP="00FF016F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020095" w:rsidRPr="00D90FAA" w:rsidRDefault="00020095" w:rsidP="00FF016F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020095" w:rsidRPr="00D90FAA" w:rsidRDefault="00020095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  <w:r w:rsidRPr="00D90FAA">
        <w:rPr>
          <w:b/>
          <w:sz w:val="24"/>
          <w:szCs w:val="24"/>
        </w:rPr>
        <w:t>Jhonas Pezzini</w:t>
      </w:r>
    </w:p>
    <w:p w:rsidR="00A3497E" w:rsidRPr="00D90FAA" w:rsidRDefault="00A3497E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  <w:r w:rsidRPr="00D90FAA">
        <w:rPr>
          <w:b/>
          <w:sz w:val="24"/>
          <w:szCs w:val="24"/>
        </w:rPr>
        <w:t xml:space="preserve">Assessor Jurídico </w:t>
      </w:r>
    </w:p>
    <w:p w:rsidR="00020095" w:rsidRDefault="00020095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  <w:r w:rsidRPr="00D90FAA">
        <w:rPr>
          <w:b/>
          <w:sz w:val="24"/>
          <w:szCs w:val="24"/>
        </w:rPr>
        <w:t>OAB/SC 33.678</w:t>
      </w:r>
    </w:p>
    <w:p w:rsidR="00DD7FCF" w:rsidRDefault="00DD7FCF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</w:p>
    <w:p w:rsidR="00DD7FCF" w:rsidRDefault="00DD7FCF" w:rsidP="00DD7FCF">
      <w:pPr>
        <w:spacing w:after="0" w:line="288" w:lineRule="auto"/>
        <w:rPr>
          <w:rFonts w:ascii="Tahoma" w:hAnsi="Tahoma" w:cs="Tahoma"/>
          <w:b/>
          <w:sz w:val="24"/>
          <w:szCs w:val="24"/>
        </w:rPr>
      </w:pPr>
    </w:p>
    <w:sectPr w:rsidR="00DD7FCF" w:rsidSect="00EF0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4BA0"/>
    <w:rsid w:val="00001C5E"/>
    <w:rsid w:val="0001385A"/>
    <w:rsid w:val="00020095"/>
    <w:rsid w:val="00034593"/>
    <w:rsid w:val="0006269F"/>
    <w:rsid w:val="00062DDB"/>
    <w:rsid w:val="000904A4"/>
    <w:rsid w:val="00125CF1"/>
    <w:rsid w:val="001E53A5"/>
    <w:rsid w:val="001F3160"/>
    <w:rsid w:val="002A2CB8"/>
    <w:rsid w:val="002E5470"/>
    <w:rsid w:val="003F15C8"/>
    <w:rsid w:val="00407FFA"/>
    <w:rsid w:val="004140CC"/>
    <w:rsid w:val="005376F4"/>
    <w:rsid w:val="0054228B"/>
    <w:rsid w:val="00567A8A"/>
    <w:rsid w:val="005C5771"/>
    <w:rsid w:val="0063588E"/>
    <w:rsid w:val="00654BA0"/>
    <w:rsid w:val="00695BFA"/>
    <w:rsid w:val="006E537B"/>
    <w:rsid w:val="006F7FE9"/>
    <w:rsid w:val="007311A8"/>
    <w:rsid w:val="007B1ED4"/>
    <w:rsid w:val="007B4A20"/>
    <w:rsid w:val="007D1FF7"/>
    <w:rsid w:val="00850E97"/>
    <w:rsid w:val="00856859"/>
    <w:rsid w:val="0086077A"/>
    <w:rsid w:val="00885AD3"/>
    <w:rsid w:val="00893889"/>
    <w:rsid w:val="008974F3"/>
    <w:rsid w:val="008A0023"/>
    <w:rsid w:val="00930A1E"/>
    <w:rsid w:val="00933933"/>
    <w:rsid w:val="009B3DFC"/>
    <w:rsid w:val="009B6DD5"/>
    <w:rsid w:val="009D429A"/>
    <w:rsid w:val="00A17ADD"/>
    <w:rsid w:val="00A3497E"/>
    <w:rsid w:val="00AE7D0A"/>
    <w:rsid w:val="00AF03F8"/>
    <w:rsid w:val="00B2647B"/>
    <w:rsid w:val="00BA5CD6"/>
    <w:rsid w:val="00BB000B"/>
    <w:rsid w:val="00BB220C"/>
    <w:rsid w:val="00BB4EF4"/>
    <w:rsid w:val="00C10893"/>
    <w:rsid w:val="00C12877"/>
    <w:rsid w:val="00C47B37"/>
    <w:rsid w:val="00C9149E"/>
    <w:rsid w:val="00CC3FF8"/>
    <w:rsid w:val="00D90FAA"/>
    <w:rsid w:val="00D952BE"/>
    <w:rsid w:val="00DD7FCF"/>
    <w:rsid w:val="00DE6A27"/>
    <w:rsid w:val="00E05954"/>
    <w:rsid w:val="00EF0190"/>
    <w:rsid w:val="00EF7C39"/>
    <w:rsid w:val="00F84D2C"/>
    <w:rsid w:val="00FB46F5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0A1E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30A1E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10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0904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016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E53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cp:lastPrinted>2021-05-25T14:11:00Z</cp:lastPrinted>
  <dcterms:created xsi:type="dcterms:W3CDTF">2021-05-25T14:13:00Z</dcterms:created>
  <dcterms:modified xsi:type="dcterms:W3CDTF">2021-05-25T14:13:00Z</dcterms:modified>
</cp:coreProperties>
</file>