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E5" w:rsidRPr="007D126A" w:rsidRDefault="008F0EE5" w:rsidP="00052B35">
      <w:pPr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D126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IMPUGNAÇÃO AO EDITAL</w:t>
      </w:r>
    </w:p>
    <w:p w:rsidR="008F0EE5" w:rsidRPr="007D126A" w:rsidRDefault="008F0EE5" w:rsidP="008F0EE5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F0EE5" w:rsidRPr="007D126A" w:rsidRDefault="008F0EE5" w:rsidP="008F0EE5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D126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IMPUGNAÇÃO AO EDITAL DO PROCEDIMENTO LICITATÓRIO</w:t>
      </w:r>
    </w:p>
    <w:tbl>
      <w:tblPr>
        <w:tblW w:w="87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3969"/>
      </w:tblGrid>
      <w:tr w:rsidR="008F0EE5" w:rsidRPr="007D126A" w:rsidTr="0039463F">
        <w:tc>
          <w:tcPr>
            <w:tcW w:w="4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F0EE5" w:rsidRPr="007D126A" w:rsidRDefault="008F0EE5" w:rsidP="009B6993">
            <w:pPr>
              <w:ind w:left="142" w:right="7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126A">
              <w:rPr>
                <w:rFonts w:ascii="Arial" w:hAnsi="Arial" w:cs="Arial"/>
                <w:b/>
                <w:sz w:val="24"/>
                <w:szCs w:val="24"/>
              </w:rPr>
              <w:t xml:space="preserve">Processo Nº.: </w:t>
            </w:r>
            <w:r w:rsidR="009B6993"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="00E51D00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F0EE5" w:rsidRPr="007D126A" w:rsidRDefault="009B6993" w:rsidP="009B69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Pregão</w:t>
            </w:r>
            <w:r w:rsidR="00E51D00">
              <w:rPr>
                <w:rFonts w:ascii="Arial" w:hAnsi="Arial" w:cs="Arial"/>
                <w:b/>
                <w:sz w:val="24"/>
                <w:szCs w:val="24"/>
              </w:rPr>
              <w:t xml:space="preserve"> Nº.: 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E51D00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</w:tr>
    </w:tbl>
    <w:p w:rsidR="008F0EE5" w:rsidRPr="007D126A" w:rsidRDefault="008F0EE5" w:rsidP="008F0EE5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F0EE5" w:rsidRPr="00C44460" w:rsidRDefault="00E51D00" w:rsidP="008F0EE5">
      <w:pPr>
        <w:shd w:val="clear" w:color="auto" w:fill="FFFFFF"/>
        <w:spacing w:line="255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proofErr w:type="gramStart"/>
      <w:r w:rsidRPr="00C4446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ILUSTRÍSSIMO SENHOR PRESIDENTE DA COMISSÃO</w:t>
      </w:r>
      <w:proofErr w:type="gramEnd"/>
      <w:r w:rsidR="008F0EE5" w:rsidRPr="00C4446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DE LICITAÇÃO DO MUNICÍPIO DE </w:t>
      </w:r>
      <w:r w:rsidR="009B699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ÁGUAS FRIAS</w:t>
      </w:r>
      <w:r w:rsidR="008F0EE5" w:rsidRPr="00C4446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/SC.</w:t>
      </w:r>
    </w:p>
    <w:p w:rsidR="008F0EE5" w:rsidRPr="009403D0" w:rsidRDefault="008F0EE5" w:rsidP="004320BD">
      <w:pPr>
        <w:shd w:val="clear" w:color="auto" w:fill="FFFFFF"/>
        <w:spacing w:line="25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D12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PÚBLICA ASSESSORIA EM CONTABILIDADE E GESTÃO EIRELI</w:t>
      </w:r>
      <w:r w:rsidR="00E51D0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Pr="007D12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pessoa jurídica de direito privado, devidamente inscrito no CNPJ nº 16.457.852/0001-42, com sede na Rua Francisco Norberto </w:t>
      </w:r>
      <w:proofErr w:type="spellStart"/>
      <w:r w:rsidRPr="007D12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Bonher</w:t>
      </w:r>
      <w:proofErr w:type="spellEnd"/>
      <w:r w:rsidRPr="007D12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64 E, Bairro Jardim Itália, Chapeco, SC, por su</w:t>
      </w:r>
      <w:r w:rsidR="00C4446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</w:t>
      </w:r>
      <w:r w:rsidRPr="007D12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representante legal Angelita Adriane de Conto, CPF 035.306.539-00 residente a Rua Francisco Norberto </w:t>
      </w:r>
      <w:proofErr w:type="spellStart"/>
      <w:r w:rsidRPr="007D12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Bonher</w:t>
      </w:r>
      <w:proofErr w:type="spellEnd"/>
      <w:r w:rsidRPr="007D12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64 E, Bairro Jardim Itália, Chapeco, SC, vem perante Vossa Senhoria, </w:t>
      </w:r>
      <w:r w:rsidRPr="009403D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com fulcro </w:t>
      </w:r>
      <w:r w:rsidR="009403D0" w:rsidRPr="009403D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na </w:t>
      </w:r>
      <w:r w:rsidR="007417EC" w:rsidRPr="007417E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RESOLUÇÃO CFC Nº 1.390, DE 30 DE MARÇO DE 2012</w:t>
      </w:r>
      <w:r w:rsidR="007417E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e RESOLUÇÃO CFC Nº 560</w:t>
      </w:r>
      <w:r w:rsidR="001A287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, DE 28 DE OUTUBRO DE 1983, DECRETO-LEI Nº 9.295, DE 27 DE MAIO DE 1946</w:t>
      </w:r>
      <w:r w:rsidR="009403D0" w:rsidRPr="009403D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="00052B35" w:rsidRPr="009403D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interpor a presente impugnação ao edital do procedimento licitatório</w:t>
      </w:r>
      <w:r w:rsidR="006564A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nº</w:t>
      </w:r>
      <w:r w:rsidR="00052B35" w:rsidRPr="009403D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9403D0" w:rsidRPr="009403D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</w:t>
      </w:r>
      <w:r w:rsidR="009B69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32</w:t>
      </w:r>
      <w:r w:rsidR="009403D0" w:rsidRPr="009403D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/2021</w:t>
      </w:r>
      <w:r w:rsidR="00052B35" w:rsidRPr="009403D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r w:rsidR="009B69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Pregão Presencial nº 17</w:t>
      </w:r>
      <w:r w:rsidR="009403D0" w:rsidRPr="009403D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</w:t>
      </w:r>
      <w:r w:rsidR="006564A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</w:t>
      </w:r>
      <w:r w:rsidR="009403D0" w:rsidRPr="009403D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021</w:t>
      </w:r>
      <w:r w:rsidR="00052B35" w:rsidRPr="009403D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para </w:t>
      </w:r>
      <w:r w:rsidR="009403D0" w:rsidRPr="009403D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</w:t>
      </w:r>
      <w:r w:rsidR="009B6993" w:rsidRPr="009B69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Prestação de Serviços de Assessoria e Apoio Técnico a Controladoria Interna, Contabilidade, Patrimônio, recursos Humanos, Tesouraria e Licitações, conforme especificações contidas na lista de itens, Anexo I do presente edita</w:t>
      </w:r>
      <w:r w:rsidR="009B6993" w:rsidRPr="009B69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</w:t>
      </w:r>
      <w:r w:rsidR="009403D0" w:rsidRPr="009403D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”</w:t>
      </w:r>
      <w:r w:rsidR="00052B35" w:rsidRPr="009403D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pelos fatos e fundamentos a seguir:</w:t>
      </w:r>
    </w:p>
    <w:p w:rsidR="008F0EE5" w:rsidRPr="007D126A" w:rsidRDefault="008F0EE5" w:rsidP="008F0EE5">
      <w:pPr>
        <w:shd w:val="clear" w:color="auto" w:fill="FFFFFF"/>
        <w:spacing w:line="25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8F0EE5" w:rsidRPr="00C44460" w:rsidRDefault="008F0EE5" w:rsidP="008F0EE5">
      <w:pPr>
        <w:shd w:val="clear" w:color="auto" w:fill="FFFFFF"/>
        <w:spacing w:line="255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C4446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I – DOS FATOS</w:t>
      </w:r>
    </w:p>
    <w:p w:rsidR="008F0EE5" w:rsidRPr="007D126A" w:rsidRDefault="008F0EE5" w:rsidP="008F0EE5">
      <w:pPr>
        <w:shd w:val="clear" w:color="auto" w:fill="FFFFFF"/>
        <w:spacing w:line="25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D12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empresa impugnante, empresa Individual de Responsabilidade Limitada, classificada como Micro Empresa (ME) sediada em Chapecó. </w:t>
      </w:r>
    </w:p>
    <w:p w:rsidR="009F466E" w:rsidRDefault="008F0EE5" w:rsidP="009F466E">
      <w:pPr>
        <w:shd w:val="clear" w:color="auto" w:fill="FFFFFF"/>
        <w:spacing w:line="255" w:lineRule="atLeast"/>
        <w:jc w:val="both"/>
        <w:rPr>
          <w:rStyle w:val="Forte"/>
          <w:color w:val="000000"/>
        </w:rPr>
      </w:pPr>
      <w:r w:rsidRPr="007D12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Acontece que ao adquirir o edital do processo licitatório </w:t>
      </w:r>
      <w:r w:rsidR="007741C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nº </w:t>
      </w:r>
      <w:r w:rsidR="009B69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032</w:t>
      </w:r>
      <w:r w:rsidR="00AF3F1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/2021</w:t>
      </w:r>
      <w:r w:rsidRPr="007D12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r w:rsidR="009B69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Pregão Presencial nº 17</w:t>
      </w:r>
      <w:r w:rsidR="009B6993" w:rsidRPr="009403D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</w:t>
      </w:r>
      <w:r w:rsidR="009B69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</w:t>
      </w:r>
      <w:r w:rsidR="009B6993" w:rsidRPr="009403D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021</w:t>
      </w:r>
      <w:r w:rsidRPr="00052B35">
        <w:rPr>
          <w:rFonts w:ascii="Arial" w:eastAsia="Times New Roman" w:hAnsi="Arial" w:cs="Arial"/>
          <w:sz w:val="24"/>
          <w:szCs w:val="24"/>
          <w:lang w:eastAsia="pt-BR"/>
        </w:rPr>
        <w:t>, a empresa impugnante percebeu que</w:t>
      </w:r>
      <w:r w:rsidR="00052B35" w:rsidRPr="00052B35">
        <w:rPr>
          <w:rFonts w:ascii="Arial" w:eastAsia="Times New Roman" w:hAnsi="Arial" w:cs="Arial"/>
          <w:sz w:val="24"/>
          <w:szCs w:val="24"/>
          <w:lang w:eastAsia="pt-BR"/>
        </w:rPr>
        <w:t xml:space="preserve"> não est</w:t>
      </w:r>
      <w:r w:rsidR="0095348F">
        <w:rPr>
          <w:rFonts w:ascii="Arial" w:eastAsia="Times New Roman" w:hAnsi="Arial" w:cs="Arial"/>
          <w:sz w:val="24"/>
          <w:szCs w:val="24"/>
          <w:lang w:eastAsia="pt-BR"/>
        </w:rPr>
        <w:t>á</w:t>
      </w:r>
      <w:r w:rsidR="00052B35" w:rsidRPr="00052B35">
        <w:rPr>
          <w:rFonts w:ascii="Arial" w:eastAsia="Times New Roman" w:hAnsi="Arial" w:cs="Arial"/>
          <w:sz w:val="24"/>
          <w:szCs w:val="24"/>
          <w:lang w:eastAsia="pt-BR"/>
        </w:rPr>
        <w:t xml:space="preserve"> garantido</w:t>
      </w:r>
      <w:r w:rsidR="0095348F">
        <w:rPr>
          <w:rFonts w:ascii="Arial" w:eastAsia="Times New Roman" w:hAnsi="Arial" w:cs="Arial"/>
          <w:sz w:val="24"/>
          <w:szCs w:val="24"/>
          <w:lang w:eastAsia="pt-BR"/>
        </w:rPr>
        <w:t xml:space="preserve"> o</w:t>
      </w:r>
      <w:r w:rsidR="00052B35" w:rsidRPr="00052B35">
        <w:rPr>
          <w:rFonts w:ascii="Arial" w:eastAsia="Times New Roman" w:hAnsi="Arial" w:cs="Arial"/>
          <w:sz w:val="24"/>
          <w:szCs w:val="24"/>
          <w:lang w:eastAsia="pt-BR"/>
        </w:rPr>
        <w:t xml:space="preserve"> direito previsto </w:t>
      </w:r>
      <w:r w:rsidR="007417EC" w:rsidRPr="009F46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na</w:t>
      </w:r>
      <w:r w:rsidR="009403D0" w:rsidRPr="009F46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9F466E" w:rsidRPr="009F466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RESOLUÇÃO CFC Nº 1.390, DE 30 DE MARÇO DE 2012</w:t>
      </w:r>
      <w:r w:rsidR="009F466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,</w:t>
      </w:r>
      <w:r w:rsidR="009F466E" w:rsidRPr="009F46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também se posiciona pela </w:t>
      </w:r>
      <w:r w:rsidR="009F466E" w:rsidRPr="009F46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impossibilidade de enquadramento do objeto </w:t>
      </w:r>
      <w:r w:rsidR="009F46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do edital, </w:t>
      </w:r>
      <w:r w:rsidR="009F466E" w:rsidRPr="009F46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como </w:t>
      </w:r>
      <w:r w:rsidR="009F466E" w:rsidRPr="009F466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SERVIÇO COMUM</w:t>
      </w:r>
      <w:r w:rsidR="009F466E" w:rsidRPr="009F46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quando da Modalidade ora utilizada, Pregão Presencial.</w:t>
      </w:r>
    </w:p>
    <w:p w:rsidR="009F466E" w:rsidRDefault="009F466E" w:rsidP="008F0EE5">
      <w:pPr>
        <w:shd w:val="clear" w:color="auto" w:fill="FFFFFF"/>
        <w:spacing w:line="255" w:lineRule="atLeast"/>
        <w:jc w:val="both"/>
        <w:rPr>
          <w:rStyle w:val="Forte"/>
          <w:color w:val="000000"/>
        </w:rPr>
      </w:pPr>
    </w:p>
    <w:p w:rsidR="008F0EE5" w:rsidRDefault="008F0EE5" w:rsidP="008F0EE5">
      <w:pPr>
        <w:shd w:val="clear" w:color="auto" w:fill="FFFFFF"/>
        <w:spacing w:line="255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C4446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II – DO DIREITO</w:t>
      </w:r>
    </w:p>
    <w:p w:rsidR="009F466E" w:rsidRDefault="009F466E" w:rsidP="008F0EE5">
      <w:pPr>
        <w:shd w:val="clear" w:color="auto" w:fill="FFFFFF"/>
        <w:spacing w:line="255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9F466E" w:rsidRPr="00C44460" w:rsidRDefault="009F466E" w:rsidP="008F0EE5">
      <w:pPr>
        <w:shd w:val="clear" w:color="auto" w:fill="FFFFFF"/>
        <w:spacing w:line="255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II.a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</w:t>
      </w:r>
      <w:r w:rsidRPr="009F466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RESOLUÇÃO CFC Nº 1.390, DE 30 DE MARÇO DE 2012</w:t>
      </w:r>
    </w:p>
    <w:p w:rsidR="007417EC" w:rsidRPr="007417EC" w:rsidRDefault="008F0EE5" w:rsidP="008F0EE5">
      <w:pPr>
        <w:shd w:val="clear" w:color="auto" w:fill="FFFFFF"/>
        <w:spacing w:line="25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126A">
        <w:rPr>
          <w:rFonts w:ascii="Arial" w:hAnsi="Arial" w:cs="Arial"/>
          <w:sz w:val="24"/>
          <w:szCs w:val="24"/>
        </w:rPr>
        <w:t xml:space="preserve">O artigo </w:t>
      </w:r>
      <w:r w:rsidR="007417EC">
        <w:rPr>
          <w:rFonts w:ascii="Arial" w:hAnsi="Arial" w:cs="Arial"/>
          <w:sz w:val="24"/>
          <w:szCs w:val="24"/>
        </w:rPr>
        <w:t xml:space="preserve">1º </w:t>
      </w:r>
      <w:r w:rsidR="007417EC" w:rsidRPr="007417EC">
        <w:rPr>
          <w:rFonts w:ascii="Arial" w:hAnsi="Arial" w:cs="Arial"/>
          <w:sz w:val="24"/>
          <w:szCs w:val="24"/>
        </w:rPr>
        <w:t xml:space="preserve">da </w:t>
      </w:r>
      <w:r w:rsidR="007417EC" w:rsidRPr="007417E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Resolução CFC nº 1.390, de 30 de março de 2012, estabelece </w:t>
      </w:r>
      <w:r w:rsidR="007417EC" w:rsidRPr="007417EC">
        <w:rPr>
          <w:rFonts w:ascii="Arial" w:eastAsia="Times New Roman" w:hAnsi="Arial" w:cs="Arial"/>
          <w:sz w:val="24"/>
          <w:szCs w:val="24"/>
          <w:lang w:eastAsia="pt-BR"/>
        </w:rPr>
        <w:t>que,</w:t>
      </w:r>
      <w:r w:rsidR="007417E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7417EC" w:rsidRPr="007417EC">
        <w:rPr>
          <w:rFonts w:ascii="Arial" w:eastAsia="Times New Roman" w:hAnsi="Arial" w:cs="Arial"/>
          <w:b/>
          <w:sz w:val="24"/>
          <w:szCs w:val="24"/>
          <w:lang w:eastAsia="pt-BR"/>
        </w:rPr>
        <w:t>“Art. 1ºAs Organizações Contábeis que exploram serviços contábeis são obrigadas a obter o Registro Cadastral no Conselho Regional de Contabilidade da jurisdição da sua sede, sem o que não poderão iniciar suas atividades”.</w:t>
      </w:r>
      <w:r w:rsidR="007417EC" w:rsidRPr="007417E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7417EC" w:rsidRPr="007417EC">
        <w:rPr>
          <w:rFonts w:ascii="Arial" w:eastAsia="Times New Roman" w:hAnsi="Arial" w:cs="Arial"/>
          <w:sz w:val="24"/>
          <w:szCs w:val="24"/>
          <w:lang w:eastAsia="pt-BR"/>
        </w:rPr>
        <w:t>(...)</w:t>
      </w:r>
      <w:r w:rsidR="007417E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417EC">
        <w:rPr>
          <w:rFonts w:ascii="Arial" w:eastAsia="Times New Roman" w:hAnsi="Arial" w:cs="Arial"/>
          <w:b/>
          <w:sz w:val="24"/>
          <w:szCs w:val="24"/>
          <w:lang w:eastAsia="pt-BR"/>
        </w:rPr>
        <w:t>G</w:t>
      </w:r>
      <w:r w:rsidR="007417EC" w:rsidRPr="007417EC">
        <w:rPr>
          <w:rFonts w:ascii="Arial" w:eastAsia="Times New Roman" w:hAnsi="Arial" w:cs="Arial"/>
          <w:b/>
          <w:sz w:val="24"/>
          <w:szCs w:val="24"/>
          <w:lang w:eastAsia="pt-BR"/>
        </w:rPr>
        <w:t>rifo</w:t>
      </w:r>
      <w:proofErr w:type="gramEnd"/>
      <w:r w:rsidR="007417EC" w:rsidRPr="007417E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nosso.</w:t>
      </w:r>
    </w:p>
    <w:p w:rsidR="007417EC" w:rsidRPr="007417EC" w:rsidRDefault="007417EC" w:rsidP="008F0EE5">
      <w:pPr>
        <w:shd w:val="clear" w:color="auto" w:fill="FFFFFF"/>
        <w:spacing w:line="25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17E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Ainda, o art. 3º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da mesma Resolução</w:t>
      </w:r>
      <w:r w:rsidRPr="007417EC">
        <w:rPr>
          <w:rFonts w:ascii="Arial" w:eastAsia="Times New Roman" w:hAnsi="Arial" w:cs="Arial"/>
          <w:sz w:val="24"/>
          <w:szCs w:val="24"/>
          <w:lang w:eastAsia="pt-BR"/>
        </w:rPr>
        <w:t xml:space="preserve"> define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7417EC" w:rsidRPr="007417EC" w:rsidRDefault="007417EC" w:rsidP="007417EC">
      <w:pPr>
        <w:shd w:val="clear" w:color="auto" w:fill="FFFFFF"/>
        <w:spacing w:line="255" w:lineRule="atLeast"/>
        <w:ind w:left="2268"/>
        <w:jc w:val="both"/>
        <w:rPr>
          <w:rFonts w:ascii="Arial" w:eastAsia="Times New Roman" w:hAnsi="Arial" w:cs="Arial"/>
          <w:lang w:eastAsia="pt-BR"/>
        </w:rPr>
      </w:pPr>
      <w:r w:rsidRPr="007417EC">
        <w:rPr>
          <w:rFonts w:ascii="Arial" w:eastAsia="Times New Roman" w:hAnsi="Arial" w:cs="Arial"/>
          <w:lang w:eastAsia="pt-BR"/>
        </w:rPr>
        <w:t>Art. 3ºAs Organizações Contábeis serão integradas por contadores e técnicos em contabilidade, sendo permitida a associação com profissionais de outras profissões regulamentadas, desde que estejam registrados nos respectivos órgãos de fiscalização, buscando-se a reciprocidade dessas profissões.</w:t>
      </w:r>
    </w:p>
    <w:p w:rsidR="007417EC" w:rsidRPr="007417EC" w:rsidRDefault="007417EC" w:rsidP="007417EC">
      <w:pPr>
        <w:shd w:val="clear" w:color="auto" w:fill="FFFFFF"/>
        <w:spacing w:line="255" w:lineRule="atLeast"/>
        <w:ind w:left="2268"/>
        <w:jc w:val="both"/>
        <w:rPr>
          <w:rFonts w:ascii="Arial" w:hAnsi="Arial" w:cs="Arial"/>
          <w:color w:val="000000"/>
        </w:rPr>
      </w:pPr>
      <w:r w:rsidRPr="007417EC">
        <w:rPr>
          <w:rFonts w:ascii="Arial" w:hAnsi="Arial" w:cs="Arial"/>
          <w:color w:val="000000"/>
        </w:rPr>
        <w:t>(...)</w:t>
      </w:r>
    </w:p>
    <w:p w:rsidR="007417EC" w:rsidRPr="007417EC" w:rsidRDefault="007417EC" w:rsidP="007417EC">
      <w:pPr>
        <w:shd w:val="clear" w:color="auto" w:fill="FFFFFF"/>
        <w:spacing w:line="255" w:lineRule="atLeast"/>
        <w:ind w:left="2268"/>
        <w:jc w:val="both"/>
        <w:rPr>
          <w:rFonts w:ascii="Arial" w:hAnsi="Arial" w:cs="Arial"/>
          <w:b/>
          <w:color w:val="000000"/>
        </w:rPr>
      </w:pPr>
      <w:r w:rsidRPr="007417EC">
        <w:rPr>
          <w:rFonts w:ascii="Arial" w:hAnsi="Arial" w:cs="Arial"/>
          <w:b/>
          <w:color w:val="000000"/>
        </w:rPr>
        <w:t>§ 3º A pessoa jurídica poderá participar de sociedade contábil desde que possua Registro Cadastral ativo e regular em Conselho Regional de Contabilidade.</w:t>
      </w:r>
      <w:r w:rsidRPr="007417E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9B6993">
        <w:rPr>
          <w:rFonts w:ascii="Arial" w:eastAsia="Times New Roman" w:hAnsi="Arial" w:cs="Arial"/>
          <w:b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G</w:t>
      </w:r>
      <w:r w:rsidRPr="007417EC">
        <w:rPr>
          <w:rFonts w:ascii="Arial" w:eastAsia="Times New Roman" w:hAnsi="Arial" w:cs="Arial"/>
          <w:b/>
          <w:sz w:val="24"/>
          <w:szCs w:val="24"/>
          <w:lang w:eastAsia="pt-BR"/>
        </w:rPr>
        <w:t>rifo nosso</w:t>
      </w:r>
      <w:r w:rsidR="009B6993"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  <w:r w:rsidRPr="007417EC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7D126A" w:rsidRDefault="001A2876" w:rsidP="006564A1">
      <w:pPr>
        <w:shd w:val="clear" w:color="auto" w:fill="FFFFFF"/>
        <w:spacing w:line="255" w:lineRule="atLeast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Atenta-se que além da </w:t>
      </w:r>
      <w:r w:rsidRPr="007417EC">
        <w:rPr>
          <w:rFonts w:ascii="Arial" w:eastAsia="Times New Roman" w:hAnsi="Arial" w:cs="Arial"/>
          <w:bCs/>
          <w:sz w:val="24"/>
          <w:szCs w:val="24"/>
          <w:lang w:eastAsia="pt-BR"/>
        </w:rPr>
        <w:t>Resolução CFC nº 1.390, de 30 de março de 2012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, deve ser observado as exigências da R</w:t>
      </w:r>
      <w:r w:rsidRPr="001A2876">
        <w:rPr>
          <w:rFonts w:ascii="Arial" w:eastAsia="Times New Roman" w:hAnsi="Arial" w:cs="Arial"/>
          <w:bCs/>
          <w:sz w:val="24"/>
          <w:szCs w:val="24"/>
          <w:lang w:eastAsia="pt-BR"/>
        </w:rPr>
        <w:t>esolução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CFC n</w:t>
      </w:r>
      <w:r w:rsidRPr="001A287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º 560,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de</w:t>
      </w:r>
      <w:r w:rsidRPr="001A287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28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de outubro</w:t>
      </w:r>
      <w:r w:rsidRPr="001A287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de</w:t>
      </w:r>
      <w:r w:rsidRPr="001A287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1983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, que define as atividades privativas do profissional contador.</w:t>
      </w:r>
    </w:p>
    <w:p w:rsidR="006564A1" w:rsidRDefault="008F0EE5" w:rsidP="0053482D">
      <w:pPr>
        <w:shd w:val="clear" w:color="auto" w:fill="FFFFFF"/>
        <w:spacing w:line="255" w:lineRule="atLeast"/>
        <w:ind w:firstLine="708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052B3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Dest</w:t>
      </w:r>
      <w:r w:rsidR="0053482D" w:rsidRPr="00052B3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e modo, </w:t>
      </w:r>
      <w:r w:rsidRPr="00052B3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resta claro </w:t>
      </w:r>
      <w:r w:rsidRPr="006564A1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que </w:t>
      </w:r>
      <w:r w:rsidR="0053482D" w:rsidRPr="006564A1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o </w:t>
      </w:r>
      <w:r w:rsidR="001A2876" w:rsidRPr="007741C4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edital </w:t>
      </w:r>
      <w:r w:rsidR="009B6993" w:rsidRPr="007741C4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procedimento licitatório nº 032/2021, Pregão Presencial nº 17/2021</w:t>
      </w:r>
      <w:r w:rsidR="001A2876" w:rsidRPr="007741C4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, para </w:t>
      </w:r>
      <w:r w:rsidR="009B6993" w:rsidRPr="007741C4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“Prestação de Serviços de Assessoria e Apoio Técnico a Controladoria Interna, Contabilidade, Patrimônio, recursos Humanos, Tesouraria e Licitações, conforme especificações contidas na lista de itens, Anexo I do presente edital”</w:t>
      </w:r>
      <w:r w:rsidR="0053482D" w:rsidRPr="007741C4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, </w:t>
      </w:r>
      <w:r w:rsidR="00872BB5" w:rsidRPr="007741C4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do Município</w:t>
      </w:r>
      <w:r w:rsidR="00872BB5" w:rsidRPr="006564A1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de </w:t>
      </w:r>
      <w:r w:rsidR="009B699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Águas Frias, </w:t>
      </w:r>
      <w:r w:rsidR="0053482D" w:rsidRPr="006564A1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não está garantindo o direito de </w:t>
      </w:r>
      <w:r w:rsidR="001A2876" w:rsidRPr="006564A1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que só empresas </w:t>
      </w:r>
      <w:r w:rsidR="006564A1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com </w:t>
      </w:r>
      <w:r w:rsidR="006564A1" w:rsidRPr="007417EC">
        <w:rPr>
          <w:rFonts w:ascii="Arial" w:hAnsi="Arial" w:cs="Arial"/>
          <w:b/>
          <w:color w:val="000000"/>
        </w:rPr>
        <w:t>Registro Cadastral ativo e regular em Conselho Regional de Contabilidade</w:t>
      </w:r>
      <w:r w:rsidR="001A2876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, exerçam atividades que são privativas </w:t>
      </w:r>
      <w:r w:rsidR="006564A1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 área da contabilidade.</w:t>
      </w:r>
    </w:p>
    <w:p w:rsidR="009F466E" w:rsidRDefault="009F466E" w:rsidP="009F466E">
      <w:pPr>
        <w:shd w:val="clear" w:color="auto" w:fill="FFFFFF"/>
        <w:spacing w:line="255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9F466E" w:rsidRDefault="009F466E" w:rsidP="009F466E">
      <w:pPr>
        <w:shd w:val="clear" w:color="auto" w:fill="FFFFFF"/>
        <w:spacing w:line="255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II.b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MODALIDADE ESCOLHIDA</w:t>
      </w:r>
    </w:p>
    <w:p w:rsidR="009F466E" w:rsidRPr="009F466E" w:rsidRDefault="009F466E" w:rsidP="009F466E">
      <w:pPr>
        <w:shd w:val="clear" w:color="auto" w:fill="FFFFFF"/>
        <w:spacing w:line="255" w:lineRule="atLeast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9F466E" w:rsidRDefault="009F466E" w:rsidP="009F466E">
      <w:pPr>
        <w:shd w:val="clear" w:color="auto" w:fill="FFFFFF"/>
        <w:spacing w:line="255" w:lineRule="atLeast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O</w:t>
      </w:r>
      <w:r w:rsidRPr="009F466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serviço que será prestado pela futura contratada, sobretudo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configurado no </w:t>
      </w:r>
      <w:r w:rsidRPr="009F466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objeto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d</w:t>
      </w:r>
      <w:r w:rsidRPr="007D12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edital do processo licitatório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nº 032/2021</w:t>
      </w:r>
      <w:r w:rsidRPr="007D12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Pregão Presencial nº 17</w:t>
      </w:r>
      <w:r w:rsidRPr="009403D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</w:t>
      </w:r>
      <w:r w:rsidRPr="009403D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021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c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omo assessoria, seja ela qual área for, trata-se do objeto </w:t>
      </w:r>
      <w:r w:rsidRPr="009F46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ASSESSORIA,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 que no nosso entendimento, é motivo que </w:t>
      </w:r>
      <w:r w:rsidRPr="009F46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impede a classificação do serviço</w:t>
      </w:r>
      <w:r w:rsidRPr="009F466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</w:t>
      </w:r>
      <w:r w:rsidRPr="009F46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como de natureza comum</w:t>
      </w:r>
      <w:r w:rsidRPr="009F466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preconizado no art. 1º parágrafo único da Lei 10.520/2002. (...) </w:t>
      </w:r>
    </w:p>
    <w:p w:rsidR="009F466E" w:rsidRDefault="009F466E" w:rsidP="009F466E">
      <w:pPr>
        <w:shd w:val="clear" w:color="auto" w:fill="FFFFFF"/>
        <w:spacing w:line="255" w:lineRule="atLeast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Ademais, </w:t>
      </w:r>
      <w:r w:rsidRPr="009F466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não resta dúvida de que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o ideal seria o Município alterar a modalidade de licitação e ainda, considerar o tipo de licitação</w:t>
      </w:r>
      <w:r w:rsidR="008A019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“melhor preço e técnica”, conforme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previsto m art. 46 da lei nº 8.666/93:</w:t>
      </w:r>
    </w:p>
    <w:p w:rsidR="009F466E" w:rsidRPr="009F466E" w:rsidRDefault="009F466E" w:rsidP="009F466E">
      <w:pPr>
        <w:shd w:val="clear" w:color="auto" w:fill="FFFFFF"/>
        <w:spacing w:line="255" w:lineRule="atLeast"/>
        <w:ind w:left="3402"/>
        <w:jc w:val="both"/>
        <w:rPr>
          <w:rFonts w:ascii="Arial" w:eastAsia="Times New Roman" w:hAnsi="Arial" w:cs="Arial"/>
          <w:bCs/>
          <w:lang w:eastAsia="pt-BR"/>
        </w:rPr>
      </w:pPr>
      <w:r w:rsidRPr="009F466E">
        <w:rPr>
          <w:rFonts w:ascii="Arial" w:eastAsia="Times New Roman" w:hAnsi="Arial" w:cs="Arial"/>
          <w:bCs/>
          <w:lang w:eastAsia="pt-BR"/>
        </w:rPr>
        <w:t xml:space="preserve">Os tipos de licitação "melhor técnica" ou "técnica e preço" serão utilizados exclusivamente para serviços de natureza predominantemente intelectual, em especial na elaboração de projetos, cálculos, fiscalização, supervisão e gerenciamento e de engenharia consultiva em geral e, em particular, para a elaboração de estudos técnicos preliminares e </w:t>
      </w:r>
      <w:r w:rsidRPr="009F466E">
        <w:rPr>
          <w:rFonts w:ascii="Arial" w:eastAsia="Times New Roman" w:hAnsi="Arial" w:cs="Arial"/>
          <w:bCs/>
          <w:lang w:eastAsia="pt-BR"/>
        </w:rPr>
        <w:lastRenderedPageBreak/>
        <w:t>projetos básicos e executivos, ressalvado o disposto no § 4o do artigo anterior.</w:t>
      </w:r>
    </w:p>
    <w:p w:rsidR="008A019C" w:rsidRDefault="008A019C" w:rsidP="008A019C">
      <w:pPr>
        <w:shd w:val="clear" w:color="auto" w:fill="FFFFFF"/>
        <w:spacing w:line="255" w:lineRule="atLeast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São no nosso entendimento, procedimentos que favorecerão ao Município a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contratação de empresas qualificadas capazes de cumprir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e,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com excelência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o objeto contratado, tendo em vista a complexidade e especialidade do mesmo, a o mesmo tempo, o atendimento da legislação vigente.</w:t>
      </w:r>
      <w:bookmarkStart w:id="0" w:name="_GoBack"/>
      <w:bookmarkEnd w:id="0"/>
    </w:p>
    <w:p w:rsidR="008A019C" w:rsidRDefault="008A019C" w:rsidP="009F466E">
      <w:pPr>
        <w:shd w:val="clear" w:color="auto" w:fill="FFFFFF"/>
        <w:spacing w:line="255" w:lineRule="atLeast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8F0EE5" w:rsidRPr="00C44460" w:rsidRDefault="008F0EE5" w:rsidP="008F0EE5">
      <w:pPr>
        <w:shd w:val="clear" w:color="auto" w:fill="FFFFFF"/>
        <w:spacing w:line="255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C4446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III – DOS PEDIDOS</w:t>
      </w:r>
    </w:p>
    <w:p w:rsidR="00052B35" w:rsidRDefault="008F0EE5" w:rsidP="00052B35">
      <w:pPr>
        <w:shd w:val="clear" w:color="auto" w:fill="FFFFFF"/>
        <w:spacing w:line="255" w:lineRule="atLeast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D12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Ante o exposto, requer que Vossa Senhoria reforme o </w:t>
      </w:r>
      <w:r w:rsidR="009B6993" w:rsidRPr="009403D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procedimento licitatório</w:t>
      </w:r>
      <w:r w:rsidR="009B69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nº</w:t>
      </w:r>
      <w:r w:rsidR="009B6993" w:rsidRPr="009403D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0</w:t>
      </w:r>
      <w:r w:rsidR="009B69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32</w:t>
      </w:r>
      <w:r w:rsidR="009B6993" w:rsidRPr="009403D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/2021, </w:t>
      </w:r>
      <w:r w:rsidR="009B69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Pregão Presencial nº 17</w:t>
      </w:r>
      <w:r w:rsidR="009B6993" w:rsidRPr="009403D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</w:t>
      </w:r>
      <w:r w:rsidR="009B69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</w:t>
      </w:r>
      <w:r w:rsidR="009B6993" w:rsidRPr="009403D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021</w:t>
      </w:r>
      <w:r w:rsidR="00052B3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incluindo:</w:t>
      </w:r>
    </w:p>
    <w:p w:rsidR="00052B35" w:rsidRDefault="00052B35" w:rsidP="006564A1">
      <w:pPr>
        <w:pStyle w:val="PargrafodaLista"/>
        <w:numPr>
          <w:ilvl w:val="0"/>
          <w:numId w:val="2"/>
        </w:numPr>
        <w:shd w:val="clear" w:color="auto" w:fill="FFFFFF"/>
        <w:spacing w:line="255" w:lineRule="atLeast"/>
        <w:ind w:hanging="8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6564A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</w:t>
      </w:r>
      <w:proofErr w:type="gramEnd"/>
      <w:r w:rsidRPr="006564A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direito de exclusividade para empresas </w:t>
      </w:r>
      <w:r w:rsidR="006564A1" w:rsidRPr="006564A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 Registro Cadastral ativo e regular em Conselho Regional de Contabilidade</w:t>
      </w:r>
      <w:r w:rsidR="0095348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8A019C" w:rsidRDefault="008A019C" w:rsidP="006564A1">
      <w:pPr>
        <w:pStyle w:val="PargrafodaLista"/>
        <w:numPr>
          <w:ilvl w:val="0"/>
          <w:numId w:val="2"/>
        </w:numPr>
        <w:shd w:val="clear" w:color="auto" w:fill="FFFFFF"/>
        <w:spacing w:line="255" w:lineRule="atLeast"/>
        <w:ind w:hanging="8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Alteração da modalidade de licitação para Tomada de Preços, considerando ainda “preço” e “técnica”.</w:t>
      </w:r>
    </w:p>
    <w:p w:rsidR="008A019C" w:rsidRPr="006564A1" w:rsidRDefault="008A019C" w:rsidP="008A019C">
      <w:pPr>
        <w:pStyle w:val="PargrafodaLista"/>
        <w:shd w:val="clear" w:color="auto" w:fill="FFFFFF"/>
        <w:spacing w:line="255" w:lineRule="atLeast"/>
        <w:ind w:left="178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8F0EE5" w:rsidRPr="007D126A" w:rsidRDefault="008F0EE5" w:rsidP="008F0EE5">
      <w:pPr>
        <w:shd w:val="clear" w:color="auto" w:fill="FFFFFF"/>
        <w:spacing w:line="255" w:lineRule="atLeast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D12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</w:t>
      </w:r>
      <w:r w:rsidR="006564A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ermos em que </w:t>
      </w:r>
      <w:r w:rsidRPr="007D12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pede deferimento.</w:t>
      </w:r>
    </w:p>
    <w:p w:rsidR="009B6993" w:rsidRPr="007D126A" w:rsidRDefault="009B6993" w:rsidP="008F0EE5">
      <w:pPr>
        <w:shd w:val="clear" w:color="auto" w:fill="FFFFFF"/>
        <w:spacing w:line="255" w:lineRule="atLeast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8F0EE5" w:rsidRDefault="00052B35" w:rsidP="008F0EE5">
      <w:pPr>
        <w:shd w:val="clear" w:color="auto" w:fill="FFFFFF"/>
        <w:spacing w:line="255" w:lineRule="atLeast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Chapecó, </w:t>
      </w:r>
      <w:r w:rsidR="009B69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24 de maio</w:t>
      </w:r>
      <w:r w:rsidR="006564A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2021.</w:t>
      </w:r>
    </w:p>
    <w:p w:rsidR="0095348F" w:rsidRDefault="0095348F" w:rsidP="008F0EE5">
      <w:pPr>
        <w:shd w:val="clear" w:color="auto" w:fill="FFFFFF"/>
        <w:spacing w:line="255" w:lineRule="atLeast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9B6993" w:rsidRDefault="009B6993" w:rsidP="008F0EE5">
      <w:pPr>
        <w:shd w:val="clear" w:color="auto" w:fill="FFFFFF"/>
        <w:spacing w:line="255" w:lineRule="atLeast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52B35" w:rsidRDefault="00052B35" w:rsidP="008F0EE5">
      <w:pPr>
        <w:shd w:val="clear" w:color="auto" w:fill="FFFFFF"/>
        <w:spacing w:line="255" w:lineRule="atLeast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52B35" w:rsidRPr="007D126A" w:rsidRDefault="0095348F" w:rsidP="008F0EE5">
      <w:pPr>
        <w:shd w:val="clear" w:color="auto" w:fill="FFFFFF"/>
        <w:spacing w:line="255" w:lineRule="atLeast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5348F"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w:drawing>
          <wp:inline distT="0" distB="0" distL="0" distR="0">
            <wp:extent cx="3086100" cy="855417"/>
            <wp:effectExtent l="0" t="0" r="0" b="1905"/>
            <wp:docPr id="1" name="Imagem 1" descr="Z:\ASSINATURA ANGELITA COM CARIMBOS\assinatura angelita PUB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SSINATURA ANGELITA COM CARIMBOS\assinatura angelita PUBLI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691" cy="8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60" w:rsidRDefault="00C44460" w:rsidP="00C44460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C4446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ANGELITA ADRIANE DE CONTO</w:t>
      </w:r>
    </w:p>
    <w:p w:rsidR="00C44460" w:rsidRPr="00C44460" w:rsidRDefault="00C44460" w:rsidP="00C44460">
      <w:pPr>
        <w:shd w:val="clear" w:color="auto" w:fill="FFFFFF"/>
        <w:spacing w:after="0" w:line="255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C44460">
        <w:rPr>
          <w:rFonts w:ascii="Arial" w:hAnsi="Arial" w:cs="Arial"/>
          <w:b/>
          <w:sz w:val="24"/>
          <w:szCs w:val="24"/>
        </w:rPr>
        <w:t>PF 035.306.539-00</w:t>
      </w:r>
    </w:p>
    <w:p w:rsidR="00C44460" w:rsidRPr="00C44460" w:rsidRDefault="00C44460" w:rsidP="00C44460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C4446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PÚBLICA ASSESSORIA EM CONTABILIDADE E GESTÃO EIRELI</w:t>
      </w:r>
    </w:p>
    <w:p w:rsidR="00C44460" w:rsidRPr="007D126A" w:rsidRDefault="00C44460" w:rsidP="0095348F">
      <w:pPr>
        <w:shd w:val="clear" w:color="auto" w:fill="FFFFFF"/>
        <w:spacing w:after="0" w:line="255" w:lineRule="atLeast"/>
        <w:jc w:val="both"/>
        <w:rPr>
          <w:rFonts w:ascii="Arial" w:hAnsi="Arial" w:cs="Arial"/>
          <w:sz w:val="24"/>
          <w:szCs w:val="24"/>
        </w:rPr>
      </w:pPr>
      <w:r w:rsidRPr="00C4446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CNPJ 16.457.852/0001-42</w:t>
      </w:r>
    </w:p>
    <w:sectPr w:rsidR="00C44460" w:rsidRPr="007D1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5F74"/>
    <w:multiLevelType w:val="hybridMultilevel"/>
    <w:tmpl w:val="5D564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21CA2"/>
    <w:multiLevelType w:val="hybridMultilevel"/>
    <w:tmpl w:val="12DC09F6"/>
    <w:lvl w:ilvl="0" w:tplc="41863E08">
      <w:start w:val="1"/>
      <w:numFmt w:val="lowerLetter"/>
      <w:lvlText w:val="%1)"/>
      <w:lvlJc w:val="left"/>
      <w:pPr>
        <w:ind w:left="1788" w:hanging="1080"/>
      </w:pPr>
      <w:rPr>
        <w:rFonts w:eastAsia="Times New Roman"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E5"/>
    <w:rsid w:val="00052B35"/>
    <w:rsid w:val="00092AD5"/>
    <w:rsid w:val="001A2876"/>
    <w:rsid w:val="002217FA"/>
    <w:rsid w:val="004320BD"/>
    <w:rsid w:val="00461846"/>
    <w:rsid w:val="0053482D"/>
    <w:rsid w:val="0055317D"/>
    <w:rsid w:val="006564A1"/>
    <w:rsid w:val="007417EC"/>
    <w:rsid w:val="007741C4"/>
    <w:rsid w:val="007D126A"/>
    <w:rsid w:val="00852D96"/>
    <w:rsid w:val="00872BB5"/>
    <w:rsid w:val="008A019C"/>
    <w:rsid w:val="008F0EE5"/>
    <w:rsid w:val="009403D0"/>
    <w:rsid w:val="0095348F"/>
    <w:rsid w:val="009B6993"/>
    <w:rsid w:val="009F466E"/>
    <w:rsid w:val="00A8255E"/>
    <w:rsid w:val="00AF3F12"/>
    <w:rsid w:val="00AF4FEB"/>
    <w:rsid w:val="00C44460"/>
    <w:rsid w:val="00E5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2653"/>
  <w15:docId w15:val="{D7EEBBF0-79C9-46D8-949F-207117BC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F0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F0EE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rame">
    <w:name w:val="grame"/>
    <w:basedOn w:val="Fontepargpadro"/>
    <w:rsid w:val="008F0EE5"/>
  </w:style>
  <w:style w:type="character" w:customStyle="1" w:styleId="spelle">
    <w:name w:val="spelle"/>
    <w:basedOn w:val="Fontepargpadro"/>
    <w:rsid w:val="008F0EE5"/>
  </w:style>
  <w:style w:type="paragraph" w:styleId="NormalWeb">
    <w:name w:val="Normal (Web)"/>
    <w:basedOn w:val="Normal"/>
    <w:uiPriority w:val="99"/>
    <w:unhideWhenUsed/>
    <w:rsid w:val="007D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12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D12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17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40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338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390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355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13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243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915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689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520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148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091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06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77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046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701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7607">
                  <w:marLeft w:val="2268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4955">
                  <w:marLeft w:val="2268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214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16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760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9843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3687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243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1756">
                  <w:marLeft w:val="2268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140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295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420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268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19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190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341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9957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37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7965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820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9</cp:revision>
  <cp:lastPrinted>2017-09-10T11:57:00Z</cp:lastPrinted>
  <dcterms:created xsi:type="dcterms:W3CDTF">2021-04-09T17:29:00Z</dcterms:created>
  <dcterms:modified xsi:type="dcterms:W3CDTF">2021-05-23T20:17:00Z</dcterms:modified>
</cp:coreProperties>
</file>