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D0" w:rsidRPr="006857CD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6B7B09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Pr="006857CD">
        <w:rPr>
          <w:rFonts w:ascii="Arial" w:hAnsi="Arial" w:cs="Arial"/>
          <w:b/>
          <w:sz w:val="22"/>
          <w:szCs w:val="22"/>
        </w:rPr>
        <w:t>58</w:t>
      </w:r>
      <w:r w:rsidRPr="006B7B09">
        <w:rPr>
          <w:rFonts w:ascii="Arial" w:hAnsi="Arial" w:cs="Arial"/>
          <w:b/>
          <w:noProof/>
          <w:sz w:val="22"/>
          <w:szCs w:val="22"/>
        </w:rPr>
        <w:t>/</w:t>
      </w:r>
      <w:r w:rsidRPr="006857CD">
        <w:rPr>
          <w:rFonts w:ascii="Arial" w:hAnsi="Arial" w:cs="Arial"/>
          <w:b/>
          <w:noProof/>
          <w:sz w:val="22"/>
          <w:szCs w:val="22"/>
        </w:rPr>
        <w:t>2017</w:t>
      </w:r>
    </w:p>
    <w:p w:rsidR="005D2ED0" w:rsidRPr="006857CD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D2ED0" w:rsidRPr="006857CD" w:rsidRDefault="005D2ED0" w:rsidP="005D2ED0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 w:rsidRPr="006857CD">
        <w:rPr>
          <w:rFonts w:ascii="Arial" w:hAnsi="Arial" w:cs="Arial"/>
          <w:sz w:val="22"/>
          <w:szCs w:val="22"/>
        </w:rPr>
        <w:t>FERNANDO BONETTO SCHINKO ME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2ED0" w:rsidRPr="006857CD" w:rsidRDefault="005D2ED0" w:rsidP="005D2ED0">
      <w:pPr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 w:rsidRPr="006857CD">
        <w:rPr>
          <w:rFonts w:ascii="Arial" w:hAnsi="Arial" w:cs="Arial"/>
          <w:sz w:val="22"/>
          <w:szCs w:val="22"/>
        </w:rPr>
        <w:t>FERNANDO BONETTO SCHINKO ME</w:t>
      </w:r>
      <w:r w:rsidRPr="006B7B09">
        <w:rPr>
          <w:rFonts w:ascii="Arial" w:hAnsi="Arial" w:cs="Arial"/>
          <w:sz w:val="22"/>
          <w:szCs w:val="22"/>
        </w:rPr>
        <w:t>, com sede na(o)</w:t>
      </w:r>
      <w:r w:rsidRPr="006B7B09">
        <w:rPr>
          <w:rFonts w:ascii="Arial" w:hAnsi="Arial" w:cs="Arial"/>
          <w:noProof/>
          <w:sz w:val="22"/>
          <w:szCs w:val="22"/>
        </w:rPr>
        <w:t xml:space="preserve"> </w:t>
      </w:r>
      <w:r w:rsidRPr="006857CD">
        <w:rPr>
          <w:rFonts w:ascii="Arial" w:hAnsi="Arial" w:cs="Arial"/>
          <w:noProof/>
          <w:sz w:val="22"/>
          <w:szCs w:val="22"/>
        </w:rPr>
        <w:t xml:space="preserve">Avenida Fernando Machado </w:t>
      </w:r>
      <w:r w:rsidRPr="006B7B09">
        <w:rPr>
          <w:rFonts w:ascii="Arial" w:hAnsi="Arial" w:cs="Arial"/>
          <w:noProof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615 - E</w:t>
      </w:r>
      <w:r w:rsidRPr="006B7B09">
        <w:rPr>
          <w:rFonts w:ascii="Arial" w:hAnsi="Arial" w:cs="Arial"/>
          <w:noProof/>
          <w:sz w:val="22"/>
          <w:szCs w:val="22"/>
        </w:rPr>
        <w:t xml:space="preserve">, bairro </w:t>
      </w:r>
      <w:r w:rsidRPr="006857CD">
        <w:rPr>
          <w:rFonts w:ascii="Arial" w:hAnsi="Arial" w:cs="Arial"/>
          <w:noProof/>
          <w:sz w:val="22"/>
          <w:szCs w:val="22"/>
        </w:rPr>
        <w:t xml:space="preserve">Centro </w:t>
      </w:r>
      <w:r w:rsidRPr="006B7B09">
        <w:rPr>
          <w:rFonts w:ascii="Arial" w:hAnsi="Arial" w:cs="Arial"/>
          <w:sz w:val="22"/>
          <w:szCs w:val="22"/>
        </w:rPr>
        <w:t xml:space="preserve">, na cidade de </w:t>
      </w:r>
      <w:r w:rsidRPr="006857CD">
        <w:rPr>
          <w:rFonts w:ascii="Arial" w:hAnsi="Arial" w:cs="Arial"/>
          <w:sz w:val="22"/>
          <w:szCs w:val="22"/>
        </w:rPr>
        <w:t>CHAPECÓ</w:t>
      </w:r>
      <w:r w:rsidRPr="006B7B09">
        <w:rPr>
          <w:rFonts w:ascii="Arial" w:hAnsi="Arial" w:cs="Arial"/>
          <w:sz w:val="22"/>
          <w:szCs w:val="22"/>
        </w:rPr>
        <w:t>-</w:t>
      </w:r>
      <w:r w:rsidRPr="006857CD">
        <w:rPr>
          <w:rFonts w:ascii="Arial" w:hAnsi="Arial" w:cs="Arial"/>
          <w:sz w:val="22"/>
          <w:szCs w:val="22"/>
        </w:rPr>
        <w:t>SC</w:t>
      </w:r>
      <w:r w:rsidRPr="006B7B09">
        <w:rPr>
          <w:rFonts w:ascii="Arial" w:hAnsi="Arial" w:cs="Arial"/>
          <w:sz w:val="22"/>
          <w:szCs w:val="22"/>
        </w:rPr>
        <w:t xml:space="preserve">, inscrita no CGC/MF sob o nº. </w:t>
      </w:r>
      <w:r w:rsidRPr="006B7B09">
        <w:rPr>
          <w:rFonts w:ascii="Arial" w:hAnsi="Arial" w:cs="Arial"/>
          <w:noProof/>
          <w:sz w:val="22"/>
          <w:szCs w:val="22"/>
        </w:rPr>
        <w:t xml:space="preserve"> </w:t>
      </w:r>
      <w:r w:rsidRPr="006857CD">
        <w:rPr>
          <w:rFonts w:ascii="Arial" w:hAnsi="Arial" w:cs="Arial"/>
          <w:noProof/>
          <w:sz w:val="22"/>
          <w:szCs w:val="22"/>
        </w:rPr>
        <w:t>18.867.633/0001-67</w:t>
      </w:r>
      <w:r w:rsidRPr="006B7B09">
        <w:rPr>
          <w:rFonts w:ascii="Arial" w:hAnsi="Arial" w:cs="Arial"/>
          <w:noProof/>
          <w:sz w:val="22"/>
          <w:szCs w:val="22"/>
        </w:rPr>
        <w:t xml:space="preserve"> </w:t>
      </w:r>
      <w:r w:rsidRPr="006B7B09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6B7B09">
        <w:rPr>
          <w:rFonts w:ascii="Arial" w:hAnsi="Arial" w:cs="Arial"/>
          <w:sz w:val="22"/>
          <w:szCs w:val="22"/>
        </w:rPr>
        <w:t>ua</w:t>
      </w:r>
      <w:proofErr w:type="spellEnd"/>
      <w:r w:rsidRPr="006B7B09">
        <w:rPr>
          <w:rFonts w:ascii="Arial" w:hAnsi="Arial" w:cs="Arial"/>
          <w:sz w:val="22"/>
          <w:szCs w:val="22"/>
        </w:rPr>
        <w:t xml:space="preserve">) representante legal Senhor(a) </w:t>
      </w:r>
      <w:r w:rsidRPr="006857CD">
        <w:rPr>
          <w:rFonts w:ascii="Arial" w:hAnsi="Arial" w:cs="Arial"/>
          <w:sz w:val="22"/>
          <w:szCs w:val="22"/>
        </w:rPr>
        <w:t>FERNANDO BONETTO SCHINKO</w:t>
      </w:r>
      <w:r w:rsidRPr="006B7B09">
        <w:rPr>
          <w:rFonts w:ascii="Arial" w:hAnsi="Arial" w:cs="Arial"/>
          <w:sz w:val="22"/>
          <w:szCs w:val="22"/>
        </w:rPr>
        <w:t>, portador do CPF nº</w:t>
      </w:r>
      <w:r w:rsidRPr="006857CD">
        <w:rPr>
          <w:rFonts w:ascii="Arial" w:hAnsi="Arial" w:cs="Arial"/>
          <w:sz w:val="22"/>
          <w:szCs w:val="22"/>
        </w:rPr>
        <w:t>018.423.709-28</w:t>
      </w:r>
      <w:r w:rsidRPr="006B7B09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RG 2166098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>, e perante as testemunhas abaixo firmadas, pactuam o presente termo, cuja celebração foi autorizada de acordo com o Processo Licitatório Nº</w:t>
      </w:r>
      <w:r w:rsidRPr="006B7B09">
        <w:rPr>
          <w:rFonts w:ascii="Arial" w:hAnsi="Arial" w:cs="Arial"/>
          <w:sz w:val="22"/>
          <w:szCs w:val="22"/>
        </w:rPr>
        <w:t xml:space="preserve">.  </w:t>
      </w:r>
      <w:r w:rsidRPr="006857CD">
        <w:rPr>
          <w:rFonts w:ascii="Arial" w:hAnsi="Arial" w:cs="Arial"/>
          <w:sz w:val="22"/>
          <w:szCs w:val="22"/>
        </w:rPr>
        <w:t>63</w:t>
      </w:r>
      <w:r w:rsidRPr="006B7B09">
        <w:rPr>
          <w:rFonts w:ascii="Arial" w:hAnsi="Arial" w:cs="Arial"/>
          <w:noProof/>
          <w:sz w:val="22"/>
          <w:szCs w:val="22"/>
        </w:rPr>
        <w:t>/</w:t>
      </w:r>
      <w:r w:rsidRPr="006857CD">
        <w:rPr>
          <w:rFonts w:ascii="Arial" w:hAnsi="Arial" w:cs="Arial"/>
          <w:noProof/>
          <w:sz w:val="22"/>
          <w:szCs w:val="22"/>
        </w:rPr>
        <w:t>2017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>INEXIGIBILIDADE Nº10/2017</w:t>
      </w:r>
      <w:r w:rsidRPr="006B7B09">
        <w:rPr>
          <w:rFonts w:ascii="Arial" w:hAnsi="Arial" w:cs="Arial"/>
          <w:sz w:val="22"/>
          <w:szCs w:val="22"/>
        </w:rPr>
        <w:t>, homologado em</w:t>
      </w:r>
      <w:r w:rsidRPr="006B7B09">
        <w:rPr>
          <w:rFonts w:ascii="Arial" w:hAnsi="Arial" w:cs="Arial"/>
          <w:noProof/>
          <w:sz w:val="22"/>
          <w:szCs w:val="22"/>
        </w:rPr>
        <w:t xml:space="preserve"> </w:t>
      </w:r>
      <w:r w:rsidRPr="006857CD">
        <w:rPr>
          <w:rFonts w:ascii="Arial" w:hAnsi="Arial" w:cs="Arial"/>
          <w:noProof/>
          <w:sz w:val="22"/>
          <w:szCs w:val="22"/>
        </w:rPr>
        <w:t>05/09/17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6857CD" w:rsidRPr="006857CD" w:rsidRDefault="006857CD" w:rsidP="006857CD">
      <w:pPr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6857CD" w:rsidRPr="006857CD" w:rsidRDefault="006857CD" w:rsidP="006857CD">
      <w:pPr>
        <w:keepNext/>
        <w:widowControl w:val="0"/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6857CD" w:rsidRPr="006857CD" w:rsidRDefault="006857CD" w:rsidP="006857CD">
      <w:pPr>
        <w:keepNext/>
        <w:widowControl w:val="0"/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6857CD" w:rsidRPr="006857CD" w:rsidRDefault="006857CD" w:rsidP="006857CD">
      <w:pPr>
        <w:keepNext/>
        <w:widowControl w:val="0"/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6857CD" w:rsidRPr="006857CD" w:rsidRDefault="006857CD" w:rsidP="006857CD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2.4 Os novos credenciados passarão a integrar o sistema de rodízio como últimos da lista de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espera, ainda que os demais credenciados já tenham prestado serviço alguma vez.</w:t>
      </w:r>
    </w:p>
    <w:p w:rsidR="006857CD" w:rsidRPr="006857CD" w:rsidRDefault="006857CD" w:rsidP="006857C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2.5 Poderá o Município de Águas Frias, por meio do Fundo Municipal de Saúde, justificadamente, alterar o número de procedimentos  para alternância de credenciado no sistema de rodízio, mediante comunicação prévia aos credenciados;</w:t>
      </w:r>
    </w:p>
    <w:p w:rsidR="006857CD" w:rsidRPr="006857CD" w:rsidRDefault="006857CD" w:rsidP="006857C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6857CD" w:rsidRPr="006857CD" w:rsidRDefault="006857CD" w:rsidP="006857C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6857CD" w:rsidRPr="006857CD" w:rsidRDefault="006857CD" w:rsidP="006857C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6857CD" w:rsidRPr="006857CD" w:rsidRDefault="006857CD" w:rsidP="006857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6857CD" w:rsidRPr="006857CD" w:rsidRDefault="006857CD" w:rsidP="006857CD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6857CD" w:rsidRPr="006857CD" w:rsidRDefault="006857CD" w:rsidP="006857CD">
      <w:pPr>
        <w:pStyle w:val="Default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6857CD" w:rsidRPr="006857CD" w:rsidRDefault="006857CD" w:rsidP="006857CD">
      <w:pPr>
        <w:pStyle w:val="PargrafodaLista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PargrafodaLista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6857CD" w:rsidRPr="006857CD" w:rsidRDefault="006857CD" w:rsidP="006857CD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6857CD" w:rsidRPr="006857CD" w:rsidRDefault="006857CD" w:rsidP="006857CD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6857CD" w:rsidRPr="006857CD" w:rsidRDefault="006857CD" w:rsidP="006857CD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6857CD" w:rsidRPr="006857CD" w:rsidRDefault="006857CD" w:rsidP="006857CD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4.000,00 (quatro mil reais).</w:t>
      </w:r>
    </w:p>
    <w:p w:rsidR="006857CD" w:rsidRPr="006857CD" w:rsidRDefault="006857CD" w:rsidP="006857C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6857CD" w:rsidRPr="006857CD" w:rsidRDefault="006857CD" w:rsidP="006857C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Ind w:w="0" w:type="dxa"/>
        <w:tblLook w:val="04A0"/>
      </w:tblPr>
      <w:tblGrid>
        <w:gridCol w:w="675"/>
        <w:gridCol w:w="1060"/>
        <w:gridCol w:w="5386"/>
        <w:gridCol w:w="1418"/>
      </w:tblGrid>
      <w:tr w:rsidR="006857CD" w:rsidRPr="006857CD" w:rsidTr="006857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6857CD" w:rsidRPr="006857CD" w:rsidTr="006857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Cirurgia Unilateral (por perna) de varizes  com corte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CD" w:rsidRPr="006857CD" w:rsidRDefault="006857C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</w:tr>
    </w:tbl>
    <w:p w:rsidR="006857CD" w:rsidRPr="006857CD" w:rsidRDefault="006857CD" w:rsidP="006857C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6857CD" w:rsidRPr="006857CD" w:rsidRDefault="006857CD" w:rsidP="006857C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6857CD" w:rsidRPr="006857CD" w:rsidRDefault="006857CD" w:rsidP="006857C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6857CD" w:rsidRPr="006857CD" w:rsidRDefault="006857CD" w:rsidP="006857C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6857CD" w:rsidRPr="006857CD" w:rsidRDefault="006857CD" w:rsidP="006857C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lastRenderedPageBreak/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6857CD" w:rsidRPr="006857CD" w:rsidRDefault="006857CD" w:rsidP="006857C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6857CD" w:rsidRPr="006857CD" w:rsidRDefault="006857CD" w:rsidP="006857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6857CD" w:rsidRPr="006857CD" w:rsidRDefault="006857CD" w:rsidP="006857C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6857CD" w:rsidRPr="006857CD" w:rsidRDefault="006857CD" w:rsidP="006857CD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6857CD" w:rsidRPr="006857CD" w:rsidRDefault="006857CD" w:rsidP="006857C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6857CD" w:rsidRPr="006857CD" w:rsidRDefault="006857CD" w:rsidP="006857C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6857CD" w:rsidRPr="006857CD" w:rsidRDefault="006857CD" w:rsidP="006857CD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6857CD" w:rsidRPr="006857CD" w:rsidRDefault="006857CD" w:rsidP="006857C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6857CD" w:rsidRPr="006857CD" w:rsidRDefault="006857CD" w:rsidP="006857C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6857CD" w:rsidRPr="006857CD" w:rsidRDefault="006857CD" w:rsidP="006857C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6857CD" w:rsidRPr="006857CD" w:rsidRDefault="006857CD" w:rsidP="006857C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6857CD" w:rsidRPr="006857CD" w:rsidRDefault="006857CD" w:rsidP="006857CD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6857CD" w:rsidRPr="006857CD" w:rsidRDefault="006857CD" w:rsidP="006857CD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6857CD" w:rsidRPr="006857CD" w:rsidRDefault="006857CD" w:rsidP="006857CD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6857CD" w:rsidRPr="006857CD" w:rsidRDefault="006857CD" w:rsidP="006857C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6857CD" w:rsidRPr="006857CD" w:rsidRDefault="006857CD" w:rsidP="006857C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6857CD" w:rsidRPr="006857CD" w:rsidRDefault="006857CD" w:rsidP="006857CD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6857CD" w:rsidRPr="006857CD" w:rsidRDefault="006857CD" w:rsidP="006857C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e prestar </w:t>
      </w: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6857CD" w:rsidRPr="006857CD" w:rsidRDefault="006857CD" w:rsidP="006857C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6857CD" w:rsidRPr="006857CD" w:rsidRDefault="006857CD" w:rsidP="006857CD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6857CD" w:rsidRPr="006857CD" w:rsidRDefault="006857CD" w:rsidP="006857CD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6857CD" w:rsidRPr="006857CD" w:rsidRDefault="006857CD" w:rsidP="006857CD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6857CD" w:rsidRPr="006857CD" w:rsidRDefault="006857CD" w:rsidP="006857C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6857CD" w:rsidRPr="006857CD" w:rsidRDefault="006857CD" w:rsidP="006857CD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6857CD" w:rsidRPr="006857CD" w:rsidRDefault="006857CD" w:rsidP="006857CD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6857CD" w:rsidRPr="006857CD" w:rsidRDefault="006857CD" w:rsidP="006857C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6857CD" w:rsidRPr="006857CD" w:rsidRDefault="006857CD" w:rsidP="006857CD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6857CD" w:rsidRPr="006857CD" w:rsidRDefault="006857CD" w:rsidP="006857CD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6857CD" w:rsidRPr="006857CD" w:rsidRDefault="006857CD" w:rsidP="006857CD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6857CD" w:rsidRPr="006857CD" w:rsidRDefault="006857CD" w:rsidP="006857C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6857CD" w:rsidRPr="006857CD" w:rsidRDefault="006857CD" w:rsidP="006857C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6857CD" w:rsidRPr="006857CD" w:rsidRDefault="006857CD" w:rsidP="006857C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6857CD" w:rsidRPr="006857CD" w:rsidRDefault="006857CD" w:rsidP="006857C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6857CD" w:rsidRPr="006857CD" w:rsidRDefault="006857CD" w:rsidP="006857C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6857CD" w:rsidRPr="006857CD" w:rsidRDefault="006857CD" w:rsidP="006857C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6857CD" w:rsidRPr="006857CD" w:rsidRDefault="006857CD" w:rsidP="006857C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6857CD" w:rsidRPr="006857CD" w:rsidRDefault="006857CD" w:rsidP="006857CD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6857CD" w:rsidRPr="006857CD" w:rsidRDefault="006857CD" w:rsidP="006857CD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6857CD" w:rsidRPr="006857CD" w:rsidRDefault="006857CD" w:rsidP="006857CD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6857CD" w:rsidRPr="006857CD" w:rsidRDefault="006857CD" w:rsidP="006857CD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6857CD" w:rsidRPr="006857CD" w:rsidRDefault="006857CD" w:rsidP="006857C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6857CD" w:rsidRPr="006857CD" w:rsidRDefault="006857CD" w:rsidP="006857CD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6857CD" w:rsidRPr="006857CD" w:rsidRDefault="006857CD" w:rsidP="006857CD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6857CD" w:rsidRPr="006857CD" w:rsidRDefault="006857CD" w:rsidP="006857CD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6857CD" w:rsidRPr="006857CD" w:rsidRDefault="006857CD" w:rsidP="006857CD">
      <w:pPr>
        <w:widowControl w:val="0"/>
        <w:numPr>
          <w:ilvl w:val="0"/>
          <w:numId w:val="8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6857CD" w:rsidRPr="006857CD" w:rsidRDefault="006857CD" w:rsidP="006857CD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6857CD" w:rsidRPr="006857CD" w:rsidRDefault="006857CD" w:rsidP="006857CD">
      <w:pPr>
        <w:widowControl w:val="0"/>
        <w:numPr>
          <w:ilvl w:val="0"/>
          <w:numId w:val="8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6857CD" w:rsidRPr="006857CD" w:rsidRDefault="006857CD" w:rsidP="006857CD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6857CD" w:rsidRPr="006857CD" w:rsidRDefault="006857CD" w:rsidP="006857CD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6857CD" w:rsidRPr="006857CD" w:rsidRDefault="006857CD" w:rsidP="006857CD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6857CD" w:rsidRPr="006857CD" w:rsidRDefault="006857CD" w:rsidP="006857CD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6857CD" w:rsidRPr="006857CD" w:rsidRDefault="006857CD" w:rsidP="006857CD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6857CD" w:rsidRPr="006857CD" w:rsidRDefault="006857CD" w:rsidP="006857CD">
      <w:pPr>
        <w:widowControl w:val="0"/>
        <w:numPr>
          <w:ilvl w:val="0"/>
          <w:numId w:val="10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6857CD" w:rsidRPr="006857CD" w:rsidRDefault="006857CD" w:rsidP="006857CD">
      <w:pPr>
        <w:widowControl w:val="0"/>
        <w:numPr>
          <w:ilvl w:val="0"/>
          <w:numId w:val="10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6857CD" w:rsidRPr="006857CD" w:rsidRDefault="006857CD" w:rsidP="006857CD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6857CD" w:rsidRPr="006857CD" w:rsidRDefault="006857CD" w:rsidP="006857CD">
      <w:pPr>
        <w:widowControl w:val="0"/>
        <w:numPr>
          <w:ilvl w:val="0"/>
          <w:numId w:val="12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6857CD" w:rsidRPr="006857CD" w:rsidRDefault="006857CD" w:rsidP="006857CD">
      <w:pPr>
        <w:widowControl w:val="0"/>
        <w:numPr>
          <w:ilvl w:val="0"/>
          <w:numId w:val="12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6857CD" w:rsidRPr="006857CD" w:rsidRDefault="006857CD" w:rsidP="006857CD">
      <w:pPr>
        <w:widowControl w:val="0"/>
        <w:numPr>
          <w:ilvl w:val="0"/>
          <w:numId w:val="12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6857CD" w:rsidRPr="006857CD" w:rsidRDefault="006857CD" w:rsidP="006857CD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6857CD" w:rsidRPr="006857CD" w:rsidRDefault="006857CD" w:rsidP="006857CD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6857CD" w:rsidRPr="006857CD" w:rsidRDefault="006857CD" w:rsidP="006857CD">
      <w:pPr>
        <w:widowControl w:val="0"/>
        <w:numPr>
          <w:ilvl w:val="0"/>
          <w:numId w:val="14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6857CD" w:rsidRPr="006857CD" w:rsidRDefault="006857CD" w:rsidP="006857C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6857CD" w:rsidRPr="006857CD" w:rsidRDefault="006857CD" w:rsidP="006857C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6857CD" w:rsidRPr="006857CD" w:rsidRDefault="006857CD" w:rsidP="006857C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6857CD" w:rsidRPr="006857CD" w:rsidRDefault="006857CD" w:rsidP="006857CD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6857CD" w:rsidRPr="006857CD" w:rsidRDefault="006857CD" w:rsidP="006857CD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6857CD" w:rsidRPr="006857CD" w:rsidRDefault="006857CD" w:rsidP="006857C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6857CD" w:rsidRPr="006857CD" w:rsidRDefault="006857CD" w:rsidP="006857C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6857CD" w:rsidRPr="006857CD" w:rsidRDefault="006857CD" w:rsidP="006857CD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6857CD" w:rsidRPr="006857CD" w:rsidRDefault="006857CD" w:rsidP="006857CD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Edital de Credenciamento Público 001/2016.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13.2. Este Contrato poderá ser alterado, nos casos previstos pelo artigo 65, da Lei nº 8.666/93, sempre através de Termo Aditivo.</w:t>
      </w:r>
    </w:p>
    <w:p w:rsidR="006857CD" w:rsidRPr="006857CD" w:rsidRDefault="006857CD" w:rsidP="006857C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6857CD" w:rsidRPr="006857CD" w:rsidRDefault="006857CD" w:rsidP="006857CD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partes..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B7B09">
        <w:rPr>
          <w:rFonts w:ascii="Arial" w:hAnsi="Arial" w:cs="Arial"/>
          <w:sz w:val="22"/>
          <w:szCs w:val="22"/>
        </w:rPr>
        <w:t xml:space="preserve"> 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B7B09">
        <w:rPr>
          <w:rFonts w:ascii="Arial" w:hAnsi="Arial" w:cs="Arial"/>
          <w:noProof/>
          <w:sz w:val="22"/>
          <w:szCs w:val="22"/>
        </w:rPr>
        <w:t>ÁGUAS FRIAS,</w:t>
      </w:r>
      <w:r w:rsidRPr="006857CD">
        <w:rPr>
          <w:rFonts w:ascii="Arial" w:hAnsi="Arial" w:cs="Arial"/>
          <w:noProof/>
          <w:sz w:val="22"/>
          <w:szCs w:val="22"/>
        </w:rPr>
        <w:t>05 de setembro de 2017</w:t>
      </w:r>
      <w:r w:rsidRPr="006B7B09">
        <w:rPr>
          <w:rFonts w:ascii="Arial" w:hAnsi="Arial" w:cs="Arial"/>
          <w:sz w:val="22"/>
          <w:szCs w:val="22"/>
        </w:rPr>
        <w:t>.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B7B09">
        <w:rPr>
          <w:rFonts w:ascii="Arial" w:hAnsi="Arial" w:cs="Arial"/>
          <w:sz w:val="22"/>
          <w:szCs w:val="22"/>
        </w:rPr>
        <w:t xml:space="preserve"> 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B7B09">
        <w:rPr>
          <w:rFonts w:ascii="Arial" w:hAnsi="Arial" w:cs="Arial"/>
          <w:sz w:val="22"/>
          <w:szCs w:val="22"/>
        </w:rPr>
        <w:t xml:space="preserve"> 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B7B09">
        <w:rPr>
          <w:rFonts w:ascii="Arial" w:hAnsi="Arial" w:cs="Arial"/>
          <w:sz w:val="22"/>
          <w:szCs w:val="22"/>
        </w:rPr>
        <w:t>___________________________________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6B7B09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6B7B09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6857CD">
        <w:rPr>
          <w:rFonts w:ascii="Arial" w:hAnsi="Arial" w:cs="Arial"/>
          <w:noProof/>
          <w:sz w:val="22"/>
          <w:szCs w:val="22"/>
        </w:rPr>
        <w:t>FERNANDO BONETTO SCHINKO</w:t>
      </w:r>
    </w:p>
    <w:p w:rsidR="005D2ED0" w:rsidRPr="006B7B09" w:rsidRDefault="005D2ED0" w:rsidP="006857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6B7B09">
        <w:rPr>
          <w:rFonts w:ascii="Arial" w:hAnsi="Arial" w:cs="Arial"/>
          <w:noProof/>
          <w:sz w:val="22"/>
          <w:szCs w:val="22"/>
        </w:rPr>
        <w:t>REPRESENTANTE LEGAL</w:t>
      </w:r>
    </w:p>
    <w:p w:rsidR="005D2ED0" w:rsidRPr="006B7B09" w:rsidRDefault="005D2ED0" w:rsidP="005D2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6857CD" w:rsidRPr="006857CD" w:rsidRDefault="006857CD" w:rsidP="006857C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>Testemunhas:</w:t>
      </w:r>
    </w:p>
    <w:p w:rsidR="006857CD" w:rsidRPr="006857CD" w:rsidRDefault="006857CD" w:rsidP="006857CD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857CD" w:rsidRPr="006857CD" w:rsidRDefault="006857CD" w:rsidP="006857CD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>01. ______________________________</w:t>
      </w:r>
      <w:r w:rsidRPr="006857CD">
        <w:rPr>
          <w:rFonts w:ascii="Arial" w:hAnsi="Arial" w:cs="Arial"/>
          <w:color w:val="000000"/>
          <w:sz w:val="22"/>
          <w:szCs w:val="22"/>
        </w:rPr>
        <w:tab/>
        <w:t>02. ______________________________</w:t>
      </w:r>
    </w:p>
    <w:p w:rsidR="006857CD" w:rsidRPr="006857CD" w:rsidRDefault="006857CD" w:rsidP="006857C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>Nome: Gilmar Gonçalves da Silva</w:t>
      </w:r>
      <w:r w:rsidRPr="006857CD">
        <w:rPr>
          <w:rFonts w:ascii="Arial" w:hAnsi="Arial" w:cs="Arial"/>
          <w:color w:val="000000"/>
          <w:sz w:val="22"/>
          <w:szCs w:val="22"/>
        </w:rPr>
        <w:tab/>
        <w:t xml:space="preserve">Nome: Adriana </w:t>
      </w:r>
      <w:proofErr w:type="spellStart"/>
      <w:r w:rsidRPr="006857CD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6857CD">
        <w:rPr>
          <w:rFonts w:ascii="Arial" w:hAnsi="Arial" w:cs="Arial"/>
          <w:color w:val="000000"/>
          <w:sz w:val="22"/>
          <w:szCs w:val="22"/>
        </w:rPr>
        <w:t xml:space="preserve"> Costa </w:t>
      </w:r>
    </w:p>
    <w:p w:rsidR="006857CD" w:rsidRPr="006857CD" w:rsidRDefault="006857CD" w:rsidP="006857CD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CPF:947.139.879-72                      </w:t>
      </w:r>
      <w:r w:rsidRPr="006857CD">
        <w:rPr>
          <w:rFonts w:ascii="Arial" w:hAnsi="Arial" w:cs="Arial"/>
          <w:color w:val="000000"/>
          <w:sz w:val="22"/>
          <w:szCs w:val="22"/>
        </w:rPr>
        <w:tab/>
        <w:t>CPF:973.244.269-72</w:t>
      </w: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JHONAS PEZZINI</w:t>
      </w:r>
    </w:p>
    <w:p w:rsidR="006857CD" w:rsidRPr="006857CD" w:rsidRDefault="006857CD" w:rsidP="006857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OAB/SC 33678</w:t>
      </w:r>
    </w:p>
    <w:sectPr w:rsidR="006857CD" w:rsidRPr="006857CD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0" w:rsidRPr="00042E8E" w:rsidRDefault="006857CD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4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6857CD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6857C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6857CD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861D1C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6857CD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6857CD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6857CD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6857CD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6857CD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6857CD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6857CD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6857CD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6857CD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6857CD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6857CD" w:rsidP="00881A90">
    <w:pPr>
      <w:pStyle w:val="Cabealho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2ED0"/>
    <w:rsid w:val="005D2ED0"/>
    <w:rsid w:val="006857CD"/>
    <w:rsid w:val="0095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857CD"/>
    <w:pPr>
      <w:keepNext/>
      <w:widowControl w:val="0"/>
      <w:spacing w:after="0" w:line="240" w:lineRule="auto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57CD"/>
    <w:pPr>
      <w:keepNext/>
      <w:suppressAutoHyphens/>
      <w:spacing w:after="0" w:line="24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857CD"/>
    <w:pPr>
      <w:keepNext/>
      <w:widowControl w:val="0"/>
      <w:spacing w:after="0" w:line="240" w:lineRule="auto"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857CD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857CD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hAnsi="Arial"/>
      <w:b/>
      <w:sz w:val="36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857CD"/>
    <w:pPr>
      <w:keepNext/>
      <w:widowControl w:val="0"/>
      <w:spacing w:after="0" w:line="240" w:lineRule="auto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857CD"/>
    <w:pPr>
      <w:keepNext/>
      <w:widowControl w:val="0"/>
      <w:spacing w:after="0" w:line="240" w:lineRule="auto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857CD"/>
    <w:pPr>
      <w:keepNext/>
      <w:widowControl w:val="0"/>
      <w:spacing w:after="0" w:line="240" w:lineRule="auto"/>
      <w:jc w:val="right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857CD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E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5D2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2E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rsid w:val="005D2E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D2ED0"/>
  </w:style>
  <w:style w:type="character" w:customStyle="1" w:styleId="Ttulo1Char">
    <w:name w:val="Título 1 Char"/>
    <w:basedOn w:val="Fontepargpadro"/>
    <w:link w:val="Ttulo1"/>
    <w:uiPriority w:val="1"/>
    <w:rsid w:val="006857C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57C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857C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857C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857CD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857C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857C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6857C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6857CD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unhideWhenUsed/>
    <w:rsid w:val="006857C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857CD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6857C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unhideWhenUsed/>
    <w:rsid w:val="006857CD"/>
    <w:pPr>
      <w:spacing w:after="0" w:line="240" w:lineRule="auto"/>
    </w:pPr>
  </w:style>
  <w:style w:type="character" w:customStyle="1" w:styleId="TextodecomentrioChar">
    <w:name w:val="Texto de comentário Char"/>
    <w:basedOn w:val="Fontepargpadro"/>
    <w:link w:val="Textodecomentrio"/>
    <w:semiHidden/>
    <w:rsid w:val="006857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857CD"/>
    <w:pPr>
      <w:widowControl w:val="0"/>
      <w:spacing w:after="0" w:line="240" w:lineRule="auto"/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857C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857CD"/>
    <w:pPr>
      <w:widowControl w:val="0"/>
      <w:spacing w:after="0" w:line="240" w:lineRule="auto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857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57CD"/>
    <w:pPr>
      <w:spacing w:after="0" w:line="240" w:lineRule="auto"/>
      <w:ind w:firstLine="709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57CD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857CD"/>
    <w:pPr>
      <w:spacing w:after="0" w:line="240" w:lineRule="auto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6857CD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857CD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6857C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857CD"/>
    <w:pPr>
      <w:spacing w:after="0" w:line="240" w:lineRule="auto"/>
      <w:ind w:firstLine="1701"/>
      <w:jc w:val="both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857CD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857CD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857CD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6857CD"/>
    <w:pPr>
      <w:spacing w:after="0" w:line="240" w:lineRule="auto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857C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857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857C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7C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7CD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8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6857CD"/>
    <w:pPr>
      <w:spacing w:after="0" w:line="240" w:lineRule="auto"/>
      <w:ind w:left="708"/>
    </w:pPr>
  </w:style>
  <w:style w:type="paragraph" w:customStyle="1" w:styleId="BodyText21">
    <w:name w:val="Body Text 21"/>
    <w:basedOn w:val="Normal"/>
    <w:rsid w:val="006857CD"/>
    <w:pPr>
      <w:widowControl w:val="0"/>
      <w:suppressAutoHyphens/>
      <w:spacing w:after="0" w:line="240" w:lineRule="auto"/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6857CD"/>
    <w:pPr>
      <w:spacing w:after="0" w:line="240" w:lineRule="auto"/>
      <w:jc w:val="both"/>
    </w:pPr>
    <w:rPr>
      <w:rFonts w:ascii="Tms Rmn" w:hAnsi="Tms Rmn"/>
      <w:sz w:val="24"/>
    </w:rPr>
  </w:style>
  <w:style w:type="paragraph" w:customStyle="1" w:styleId="Normal1">
    <w:name w:val="Normal1"/>
    <w:rsid w:val="006857CD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6857CD"/>
    <w:pPr>
      <w:spacing w:after="120" w:line="360" w:lineRule="auto"/>
      <w:ind w:left="567"/>
      <w:jc w:val="both"/>
    </w:pPr>
  </w:style>
  <w:style w:type="paragraph" w:customStyle="1" w:styleId="A101675">
    <w:name w:val="_A101675"/>
    <w:basedOn w:val="Normal"/>
    <w:rsid w:val="006857CD"/>
    <w:pPr>
      <w:spacing w:after="0" w:line="240" w:lineRule="auto"/>
      <w:ind w:left="2160" w:firstLine="1296"/>
      <w:jc w:val="both"/>
    </w:pPr>
    <w:rPr>
      <w:rFonts w:ascii="Tms Rmn" w:hAnsi="Tms Rmn"/>
      <w:sz w:val="24"/>
    </w:rPr>
  </w:style>
  <w:style w:type="paragraph" w:customStyle="1" w:styleId="TableParagraph">
    <w:name w:val="Table Paragraph"/>
    <w:basedOn w:val="Normal"/>
    <w:uiPriority w:val="1"/>
    <w:qFormat/>
    <w:rsid w:val="006857CD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8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semiHidden/>
    <w:unhideWhenUsed/>
    <w:rsid w:val="006857CD"/>
    <w:rPr>
      <w:sz w:val="16"/>
      <w:szCs w:val="16"/>
    </w:rPr>
  </w:style>
  <w:style w:type="table" w:styleId="Tabelacomgrade">
    <w:name w:val="Table Grid"/>
    <w:basedOn w:val="Tabelanormal"/>
    <w:uiPriority w:val="59"/>
    <w:rsid w:val="0068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857C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3620</Words>
  <Characters>19550</Characters>
  <Application>Microsoft Office Word</Application>
  <DocSecurity>0</DocSecurity>
  <Lines>162</Lines>
  <Paragraphs>46</Paragraphs>
  <ScaleCrop>false</ScaleCrop>
  <Company/>
  <LinksUpToDate>false</LinksUpToDate>
  <CharactersWithSpaces>23124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2017-09-05T18:59:00Z</dcterms:created>
  <dcterms:modified xsi:type="dcterms:W3CDTF">2017-09-05T18:59:00Z</dcterms:modified>
</cp:coreProperties>
</file>