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4" w:rsidRDefault="00AF0774" w:rsidP="00675B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75BD8" w:rsidRDefault="00675BD8" w:rsidP="00675B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010E2E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</w:t>
      </w:r>
      <w:r w:rsidRPr="00010E2E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AF0774" w:rsidRDefault="00AF0774" w:rsidP="00675B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</w:p>
    <w:p w:rsidR="00675BD8" w:rsidRPr="00010E2E" w:rsidRDefault="00675BD8" w:rsidP="00AF07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5BD8" w:rsidRDefault="00675BD8" w:rsidP="00AF0774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AF0774" w:rsidRDefault="00AF0774" w:rsidP="00AF0774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RICARDO ROLIM DE MOURA, doravante denominado CONTRATANTE, e por outro lado </w:t>
      </w:r>
      <w:r>
        <w:rPr>
          <w:rFonts w:ascii="Verdana" w:hAnsi="Verdana"/>
          <w:color w:val="000000"/>
          <w:sz w:val="20"/>
          <w:szCs w:val="20"/>
        </w:rPr>
        <w:t>Sr.</w:t>
      </w:r>
      <w:r w:rsidR="00AF077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LUIZ FRANCISCO DA SILVA</w:t>
      </w:r>
      <w:r>
        <w:rPr>
          <w:rFonts w:ascii="Arial" w:hAnsi="Arial" w:cs="Arial"/>
          <w:sz w:val="22"/>
        </w:rPr>
        <w:t xml:space="preserve"> portador do CPF nº</w:t>
      </w:r>
      <w:r w:rsidRPr="00675BD8">
        <w:rPr>
          <w:rFonts w:ascii="Arial" w:hAnsi="Arial" w:cs="Arial"/>
          <w:sz w:val="22"/>
        </w:rPr>
        <w:t xml:space="preserve"> </w:t>
      </w:r>
      <w:r w:rsidRPr="00010E2E">
        <w:rPr>
          <w:rFonts w:ascii="Arial" w:hAnsi="Arial" w:cs="Arial"/>
          <w:sz w:val="22"/>
        </w:rPr>
        <w:t>nº</w:t>
      </w:r>
      <w:r>
        <w:rPr>
          <w:rFonts w:ascii="Arial" w:hAnsi="Arial" w:cs="Arial"/>
          <w:sz w:val="22"/>
        </w:rPr>
        <w:t>227.672.660-15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residente na Linha Bonita, interior do Município de Águas Frias</w:t>
      </w:r>
      <w:r>
        <w:rPr>
          <w:rFonts w:ascii="Verdana" w:hAnsi="Verdana"/>
          <w:color w:val="000000"/>
          <w:sz w:val="20"/>
          <w:szCs w:val="20"/>
        </w:rPr>
        <w:t xml:space="preserve"> 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>, e tendo em vista o que consta na Chamada Pública nº02/2019</w:t>
      </w:r>
      <w:r>
        <w:rPr>
          <w:rFonts w:ascii="Verdana" w:hAnsi="Verdana"/>
          <w:color w:val="000000"/>
          <w:sz w:val="20"/>
          <w:szCs w:val="20"/>
        </w:rPr>
        <w:t xml:space="preserve"> e em decorrência do</w:t>
      </w:r>
      <w:r w:rsidRPr="00010E2E">
        <w:rPr>
          <w:rFonts w:ascii="Arial" w:hAnsi="Arial" w:cs="Arial"/>
          <w:sz w:val="22"/>
        </w:rPr>
        <w:t xml:space="preserve"> Processo de Licitação Nº.  </w:t>
      </w:r>
      <w:r>
        <w:rPr>
          <w:rFonts w:ascii="Arial" w:hAnsi="Arial" w:cs="Arial"/>
          <w:sz w:val="22"/>
        </w:rPr>
        <w:t>11</w:t>
      </w:r>
      <w:r w:rsidRPr="00010E2E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010E2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010E2E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5</w:t>
      </w:r>
      <w:r w:rsidRPr="00010E2E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010E2E">
        <w:rPr>
          <w:rFonts w:ascii="Arial" w:hAnsi="Arial" w:cs="Arial"/>
          <w:sz w:val="22"/>
        </w:rPr>
        <w:t>, homologado em</w:t>
      </w:r>
      <w:r w:rsidRPr="00010E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06/02/19</w:t>
      </w:r>
      <w:r w:rsidRPr="007A13FF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13FF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2019,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n.º02/2019, o qual fica fazendo parte integrante do presente contrato, independentemente de anexação ou transcrição.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CONTRATADO se compromete a fornecer os gêneros alimentícios da Agricultura Familiar ao CONTRATANTE conforme descrito na </w:t>
      </w:r>
      <w:r w:rsidR="00AF0774">
        <w:rPr>
          <w:rFonts w:ascii="Verdana" w:hAnsi="Verdana"/>
          <w:color w:val="000000"/>
          <w:sz w:val="20"/>
          <w:szCs w:val="20"/>
        </w:rPr>
        <w:t>Cláusula Quarta deste Contrato.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</w:t>
      </w:r>
      <w:r>
        <w:rPr>
          <w:rFonts w:ascii="Verdana" w:hAnsi="Verdana"/>
          <w:color w:val="000000"/>
          <w:sz w:val="20"/>
          <w:szCs w:val="20"/>
        </w:rPr>
        <w:t xml:space="preserve"> de R$6.635,80 (seis mil, seiscentos e trinta e cinco reais e oitenta centavos)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</w:t>
      </w:r>
      <w:r w:rsidR="00AF0774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675BD8" w:rsidTr="00450B27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675BD8" w:rsidTr="00450B2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75BD8" w:rsidRDefault="00675BD8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AF0774" w:rsidTr="007E41A1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Abobora </w:t>
            </w:r>
            <w:proofErr w:type="spellStart"/>
            <w:r>
              <w:rPr>
                <w:color w:val="000000"/>
              </w:rPr>
              <w:t>cabotia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0774" w:rsidRDefault="00AF0774" w:rsidP="00450B27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>80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236,80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Acelga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0774" w:rsidRDefault="00AF0774" w:rsidP="00450B27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69,00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Alho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pacing w:val="14"/>
                <w:sz w:val="24"/>
                <w:szCs w:val="24"/>
                <w:lang w:eastAsia="ja-JP"/>
              </w:rPr>
            </w:pPr>
            <w:r>
              <w:rPr>
                <w:spacing w:val="14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26,63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532,60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Banana Prata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pacing w:val="18"/>
                <w:sz w:val="24"/>
                <w:szCs w:val="24"/>
                <w:lang w:eastAsia="ja-JP"/>
              </w:rPr>
            </w:pPr>
            <w:r>
              <w:rPr>
                <w:spacing w:val="18"/>
              </w:rPr>
              <w:t>300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999,00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Batata doce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pacing w:val="18"/>
                <w:sz w:val="24"/>
                <w:szCs w:val="24"/>
                <w:lang w:eastAsia="ja-JP"/>
              </w:rPr>
            </w:pPr>
            <w:r>
              <w:rPr>
                <w:spacing w:val="18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358,00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Couve-folha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pacing w:val="6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34,20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Feijão preto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90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5,31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477,90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Laranja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350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773,50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Limão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225,60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Maracujá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797,50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Milho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pacing w:val="10"/>
                <w:sz w:val="24"/>
                <w:szCs w:val="24"/>
                <w:lang w:eastAsia="ja-JP"/>
              </w:rPr>
            </w:pPr>
            <w:r>
              <w:rPr>
                <w:spacing w:val="10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349,30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Poncã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250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1.692,50 </w:t>
            </w:r>
          </w:p>
        </w:tc>
      </w:tr>
      <w:tr w:rsidR="00AF0774" w:rsidTr="00457A3A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Vagem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774" w:rsidRDefault="00AF0774">
            <w:r w:rsidRPr="00A16E0F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774" w:rsidRDefault="00AF0774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F0774" w:rsidRDefault="00AF0774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89,90 </w:t>
            </w:r>
          </w:p>
        </w:tc>
      </w:tr>
      <w:tr w:rsidR="00AF0774" w:rsidTr="00450B27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774" w:rsidRDefault="00AF0774" w:rsidP="00AF0774">
            <w:pPr>
              <w:spacing w:line="210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  <w:r>
              <w:rPr>
                <w:rFonts w:ascii="Arial" w:hAnsi="Arial" w:cs="Arial"/>
                <w:sz w:val="15"/>
                <w:szCs w:val="15"/>
              </w:rPr>
              <w:t xml:space="preserve"> R$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774" w:rsidRDefault="00AF0774" w:rsidP="00AF0774">
            <w:pPr>
              <w:spacing w:line="210" w:lineRule="atLeast"/>
              <w:rPr>
                <w:sz w:val="24"/>
                <w:szCs w:val="24"/>
              </w:rPr>
            </w:pPr>
            <w:r>
              <w:t> </w:t>
            </w:r>
            <w:r>
              <w:t>6.635,80</w:t>
            </w:r>
          </w:p>
        </w:tc>
      </w:tr>
    </w:tbl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675BD8" w:rsidRPr="008B5449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4"/>
        <w:gridCol w:w="3970"/>
        <w:gridCol w:w="2127"/>
      </w:tblGrid>
      <w:tr w:rsidR="00675BD8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675BD8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  <w:tr w:rsidR="00675BD8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BD8" w:rsidRPr="004A57B8" w:rsidRDefault="00675BD8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</w:tbl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F0774" w:rsidRDefault="00AF0774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F0774" w:rsidRDefault="00AF0774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AF0774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AF0774" w:rsidRDefault="00AF0774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PRIMEIRA:</w:t>
      </w:r>
    </w:p>
    <w:p w:rsidR="00AF0774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</w:t>
      </w:r>
      <w:r w:rsidR="00AF0774">
        <w:rPr>
          <w:rFonts w:ascii="Verdana" w:hAnsi="Verdana"/>
          <w:color w:val="000000"/>
          <w:sz w:val="20"/>
          <w:szCs w:val="20"/>
        </w:rPr>
        <w:t xml:space="preserve"> o caso, cobrada judicialmente.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AF0774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AF0774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2019,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2019.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OITAVA: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AF0774" w:rsidRDefault="00AF0774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 w:rsidR="00AF0774">
        <w:rPr>
          <w:rFonts w:ascii="Verdana" w:hAnsi="Verdana"/>
          <w:color w:val="000000"/>
          <w:sz w:val="20"/>
          <w:szCs w:val="20"/>
        </w:rPr>
        <w:t>06 de fevereiro de 2019</w:t>
      </w:r>
    </w:p>
    <w:p w:rsidR="00AF0774" w:rsidRDefault="00AF0774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F0774" w:rsidRDefault="00AF0774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="00AF0774">
        <w:rPr>
          <w:rFonts w:ascii="Verdana" w:hAnsi="Verdana"/>
          <w:color w:val="000000"/>
          <w:sz w:val="20"/>
          <w:szCs w:val="20"/>
        </w:rPr>
        <w:t xml:space="preserve">LUIZ FRANCISCO DA SILVA 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RICARDO ROLIM DE MOURA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PREFEITO MUNICIPAL 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AF0774" w:rsidRDefault="00AF0774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675BD8" w:rsidRDefault="00675BD8" w:rsidP="00675BD8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F0774" w:rsidRDefault="00AF0774" w:rsidP="00675BD8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675BD8" w:rsidRDefault="00675BD8" w:rsidP="00675BD8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AF0774" w:rsidRDefault="00AF0774" w:rsidP="00AF0774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675BD8" w:rsidRPr="00010E2E" w:rsidRDefault="00675BD8" w:rsidP="00AF0774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010E2E">
        <w:rPr>
          <w:rFonts w:ascii="Arial" w:hAnsi="Arial" w:cs="Arial"/>
          <w:sz w:val="22"/>
        </w:rPr>
        <w:t>OAB/SC 33678</w:t>
      </w:r>
      <w:bookmarkStart w:id="0" w:name="_GoBack"/>
      <w:bookmarkEnd w:id="0"/>
    </w:p>
    <w:sectPr w:rsidR="00675BD8" w:rsidRPr="00010E2E" w:rsidSect="00AF0774">
      <w:headerReference w:type="default" r:id="rId10"/>
      <w:footerReference w:type="default" r:id="rId11"/>
      <w:pgSz w:w="12240" w:h="15840"/>
      <w:pgMar w:top="1440" w:right="1325" w:bottom="241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AF077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F077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F077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F077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7A9FC93" wp14:editId="2F4B7124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F077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F077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F077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F077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F077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F077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F077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F077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F077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F077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F077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D8"/>
    <w:rsid w:val="00350E7B"/>
    <w:rsid w:val="00675BD8"/>
    <w:rsid w:val="00A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5B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5B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5B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75B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5BD8"/>
  </w:style>
  <w:style w:type="paragraph" w:styleId="Textodebalo">
    <w:name w:val="Balloon Text"/>
    <w:basedOn w:val="Normal"/>
    <w:link w:val="TextodebaloChar"/>
    <w:uiPriority w:val="99"/>
    <w:semiHidden/>
    <w:unhideWhenUsed/>
    <w:rsid w:val="0067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B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5B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B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5B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5B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5B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75B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5BD8"/>
  </w:style>
  <w:style w:type="paragraph" w:styleId="Textodebalo">
    <w:name w:val="Balloon Text"/>
    <w:basedOn w:val="Normal"/>
    <w:link w:val="TextodebaloChar"/>
    <w:uiPriority w:val="99"/>
    <w:semiHidden/>
    <w:unhideWhenUsed/>
    <w:rsid w:val="0067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B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5B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B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2019-02-06T17:55:00Z</dcterms:created>
  <dcterms:modified xsi:type="dcterms:W3CDTF">2019-02-06T18:15:00Z</dcterms:modified>
</cp:coreProperties>
</file>