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AA" w:rsidRPr="007A34AD" w:rsidRDefault="000436AA" w:rsidP="000436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34A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40</w:t>
      </w:r>
      <w:r w:rsidRPr="007A34A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0436AA" w:rsidRPr="007A34AD" w:rsidRDefault="000436AA" w:rsidP="00043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436AA" w:rsidRPr="007A34AD" w:rsidRDefault="000436AA" w:rsidP="00043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6857CD" w:rsidRDefault="00CF685E" w:rsidP="00CF685E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ASSOCIAÇÃO  HOSPITALAR BENEFICENTE DE PINHALZINHO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CF685E" w:rsidRPr="006B7B09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F685E" w:rsidRPr="0049729D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</w:rPr>
        <w:t>PREFEITO</w:t>
      </w:r>
      <w:r w:rsidRPr="006857CD">
        <w:rPr>
          <w:rFonts w:ascii="Arial" w:hAnsi="Arial" w:cs="Arial"/>
          <w:sz w:val="22"/>
        </w:rPr>
        <w:t xml:space="preserve">, Senhor </w:t>
      </w:r>
      <w:r>
        <w:rPr>
          <w:rFonts w:ascii="Arial" w:hAnsi="Arial" w:cs="Arial"/>
          <w:noProof/>
          <w:sz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6B7B09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ASSOCIAÇÃO  HOSPITALAR BENEFICENTE DE PINHALZINHO</w:t>
      </w:r>
      <w:r w:rsidRPr="00E30408">
        <w:rPr>
          <w:rFonts w:ascii="Arial" w:hAnsi="Arial" w:cs="Arial"/>
          <w:sz w:val="22"/>
        </w:rPr>
        <w:t>, com sede na(o)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>2200</w:t>
      </w:r>
      <w:r w:rsidRPr="00E30408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 xml:space="preserve">Centro </w:t>
      </w:r>
      <w:r w:rsidRPr="00E30408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PINHALZINHO</w:t>
      </w:r>
      <w:r w:rsidRPr="00E30408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E30408">
        <w:rPr>
          <w:rFonts w:ascii="Arial" w:hAnsi="Arial" w:cs="Arial"/>
          <w:sz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83.297.739/0001-34</w:t>
      </w:r>
      <w:r w:rsidRPr="00E30408">
        <w:rPr>
          <w:rFonts w:ascii="Arial" w:hAnsi="Arial" w:cs="Arial"/>
          <w:noProof/>
          <w:sz w:val="22"/>
        </w:rPr>
        <w:t xml:space="preserve"> </w:t>
      </w:r>
      <w:r w:rsidRPr="00E30408">
        <w:rPr>
          <w:rFonts w:ascii="Arial" w:hAnsi="Arial" w:cs="Arial"/>
          <w:sz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</w:rPr>
        <w:t>ua</w:t>
      </w:r>
      <w:proofErr w:type="spellEnd"/>
      <w:r w:rsidRPr="00E30408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SILVIO MOCELIN</w:t>
      </w:r>
      <w:r w:rsidRPr="00E30408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065.226.619-34 RG 562.584</w:t>
      </w:r>
      <w:r w:rsidRPr="00E30408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color w:val="000000"/>
          <w:sz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</w:rPr>
        <w:t>CONTRATADA</w:t>
      </w:r>
      <w:r w:rsidRPr="006857CD">
        <w:rPr>
          <w:rFonts w:ascii="Arial" w:hAnsi="Arial" w:cs="Arial"/>
          <w:color w:val="000000"/>
          <w:sz w:val="22"/>
        </w:rPr>
        <w:t xml:space="preserve">, 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>o Processo de Licitação Nº. 36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07D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007DA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Nº6</w:t>
      </w:r>
      <w:r w:rsidRPr="00007D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007DA4">
        <w:rPr>
          <w:rFonts w:ascii="Arial" w:hAnsi="Arial" w:cs="Arial"/>
          <w:sz w:val="22"/>
        </w:rPr>
        <w:t>, homologado em</w:t>
      </w:r>
      <w:r w:rsidRPr="00007D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10/05/19</w:t>
      </w:r>
      <w:r w:rsidRPr="00007DA4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CF685E" w:rsidRPr="0049729D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CF685E" w:rsidRDefault="00CF685E" w:rsidP="00CF685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CF685E" w:rsidRDefault="00CF685E" w:rsidP="00CF685E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CF685E" w:rsidRDefault="00CF685E" w:rsidP="00CF685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CF685E" w:rsidRDefault="00CF685E" w:rsidP="00CF685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CF685E" w:rsidRPr="006857CD" w:rsidRDefault="00CF685E" w:rsidP="00CF685E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CF685E" w:rsidRPr="006857CD" w:rsidRDefault="00CF685E" w:rsidP="00CF685E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CF685E" w:rsidRPr="006857CD" w:rsidRDefault="00CF685E" w:rsidP="00CF685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</w:rPr>
        <w:lastRenderedPageBreak/>
        <w:t>alterar o número de procedimentos  para alternância de credenciado no sistema de rodízio, mediante comunicação prévia aos credenciados;</w:t>
      </w:r>
    </w:p>
    <w:p w:rsidR="00CF685E" w:rsidRPr="006857CD" w:rsidRDefault="00CF685E" w:rsidP="00CF685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CF685E" w:rsidRPr="006857CD" w:rsidRDefault="00CF685E" w:rsidP="00CF685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CF685E" w:rsidRPr="006857CD" w:rsidRDefault="00CF685E" w:rsidP="00CF685E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CF685E" w:rsidRPr="006857CD" w:rsidRDefault="00CF685E" w:rsidP="00CF685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F685E" w:rsidRPr="006857CD" w:rsidRDefault="00CF685E" w:rsidP="00CF685E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-cirúrgica ao profissional credenciado, que fará a avaliação da solicitação; 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</w:t>
      </w:r>
      <w:r w:rsidRPr="006857CD">
        <w:rPr>
          <w:rFonts w:ascii="Arial" w:hAnsi="Arial" w:cs="Arial"/>
          <w:sz w:val="22"/>
          <w:szCs w:val="22"/>
        </w:rPr>
        <w:lastRenderedPageBreak/>
        <w:t>Municipal de Saúde de Águas Frias ou ao usuário além do IAH SISREG  para os serviços hospitalares.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CF685E" w:rsidRPr="006857CD" w:rsidRDefault="00CF685E" w:rsidP="00CF685E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CF685E" w:rsidRPr="006857CD" w:rsidRDefault="00CF685E" w:rsidP="00CF685E">
      <w:pPr>
        <w:pStyle w:val="Default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CF685E" w:rsidRPr="006857CD" w:rsidRDefault="00CF685E" w:rsidP="00CF685E">
      <w:pPr>
        <w:pStyle w:val="PargrafodaLista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CF685E" w:rsidRPr="006857CD" w:rsidRDefault="00CF685E" w:rsidP="00CF685E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CF685E" w:rsidRPr="006857CD" w:rsidRDefault="00CF685E" w:rsidP="00CF685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CF685E" w:rsidRPr="006857CD" w:rsidRDefault="00CF685E" w:rsidP="00CF685E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CF685E" w:rsidRPr="006857CD" w:rsidRDefault="00CF685E" w:rsidP="00CF685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CF685E" w:rsidRPr="006857CD" w:rsidRDefault="00CF685E" w:rsidP="00CF685E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R$</w:t>
      </w:r>
      <w:r>
        <w:rPr>
          <w:rFonts w:ascii="Arial" w:hAnsi="Arial" w:cs="Arial"/>
          <w:color w:val="000009"/>
          <w:spacing w:val="25"/>
          <w:sz w:val="22"/>
        </w:rPr>
        <w:t>4.8</w:t>
      </w:r>
      <w:r>
        <w:rPr>
          <w:rFonts w:ascii="Arial" w:hAnsi="Arial" w:cs="Arial"/>
          <w:color w:val="000009"/>
          <w:spacing w:val="25"/>
          <w:sz w:val="22"/>
        </w:rPr>
        <w:t xml:space="preserve">00,00 </w:t>
      </w:r>
      <w:r>
        <w:rPr>
          <w:rFonts w:ascii="Arial" w:hAnsi="Arial" w:cs="Arial"/>
          <w:color w:val="000009"/>
          <w:sz w:val="22"/>
        </w:rPr>
        <w:t>(quatro  mil e oitocentos</w:t>
      </w:r>
      <w:r>
        <w:rPr>
          <w:rFonts w:ascii="Arial" w:hAnsi="Arial" w:cs="Arial"/>
          <w:color w:val="000009"/>
          <w:sz w:val="22"/>
        </w:rPr>
        <w:t xml:space="preserve">  </w:t>
      </w:r>
      <w:r w:rsidRPr="006857CD">
        <w:rPr>
          <w:rFonts w:ascii="Arial" w:hAnsi="Arial" w:cs="Arial"/>
          <w:color w:val="000009"/>
          <w:sz w:val="22"/>
        </w:rPr>
        <w:t>reais).</w:t>
      </w:r>
    </w:p>
    <w:p w:rsidR="00CF685E" w:rsidRPr="006857CD" w:rsidRDefault="00CF685E" w:rsidP="00CF685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CF685E" w:rsidRPr="006857CD" w:rsidRDefault="00CF685E" w:rsidP="00CF685E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712"/>
        <w:gridCol w:w="1134"/>
        <w:gridCol w:w="5245"/>
        <w:gridCol w:w="2277"/>
      </w:tblGrid>
      <w:tr w:rsidR="00CF685E" w:rsidRPr="006857CD" w:rsidTr="003E41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5E" w:rsidRPr="006857CD" w:rsidRDefault="00CF685E" w:rsidP="003E4165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Pr="006857CD" w:rsidRDefault="00CF685E" w:rsidP="003E4165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5E" w:rsidRPr="006857CD" w:rsidRDefault="00CF685E" w:rsidP="003E4165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5E" w:rsidRPr="006857CD" w:rsidRDefault="00CF685E" w:rsidP="003E4165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5E" w:rsidRPr="006857CD" w:rsidRDefault="00CF685E" w:rsidP="003E4165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unitário</w:t>
            </w:r>
          </w:p>
        </w:tc>
      </w:tr>
      <w:tr w:rsidR="00CF685E" w:rsidRPr="006857CD" w:rsidTr="003E41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Pequenas em cirurgias em geral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CF685E" w:rsidRPr="006857CD" w:rsidTr="003E41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Curetagem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CF685E" w:rsidRPr="006857CD" w:rsidTr="003E41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22"/>
              </w:rPr>
              <w:t>Histerectomia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5E" w:rsidRDefault="00CF685E" w:rsidP="003E4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CF685E" w:rsidRPr="006857CD" w:rsidRDefault="00CF685E" w:rsidP="00CF685E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CF685E" w:rsidRPr="006857CD" w:rsidRDefault="00CF685E" w:rsidP="00CF685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CF685E" w:rsidRPr="006857CD" w:rsidRDefault="00CF685E" w:rsidP="00CF685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CF685E" w:rsidRPr="006857CD" w:rsidRDefault="00CF685E" w:rsidP="00CF68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CF685E" w:rsidRPr="006857CD" w:rsidRDefault="00CF685E" w:rsidP="00CF685E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2019</w:t>
      </w:r>
      <w:r w:rsidRPr="006857CD">
        <w:rPr>
          <w:rFonts w:ascii="Arial" w:hAnsi="Arial" w:cs="Arial"/>
          <w:sz w:val="22"/>
        </w:rPr>
        <w:t>.</w:t>
      </w:r>
    </w:p>
    <w:p w:rsidR="00CF685E" w:rsidRPr="006857CD" w:rsidRDefault="00CF685E" w:rsidP="00CF685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CF685E" w:rsidRPr="006857CD" w:rsidRDefault="00CF685E" w:rsidP="00CF68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CF685E" w:rsidRPr="006857CD" w:rsidRDefault="00CF685E" w:rsidP="00CF685E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CF685E" w:rsidRPr="006857CD" w:rsidRDefault="00CF685E" w:rsidP="00CF685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CF685E" w:rsidRPr="006857CD" w:rsidRDefault="00CF685E" w:rsidP="00CF685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CF685E" w:rsidRPr="006857CD" w:rsidRDefault="00CF685E" w:rsidP="00CF685E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CF685E" w:rsidRPr="006857CD" w:rsidRDefault="00CF685E" w:rsidP="00CF685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CF685E" w:rsidRPr="006857CD" w:rsidRDefault="00CF685E" w:rsidP="00CF685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CF685E" w:rsidRPr="006857CD" w:rsidRDefault="00CF685E" w:rsidP="00CF685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CF685E" w:rsidRPr="006857CD" w:rsidRDefault="00CF685E" w:rsidP="00CF685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CF685E" w:rsidRPr="006857CD" w:rsidRDefault="00CF685E" w:rsidP="00CF685E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CF685E" w:rsidRPr="006857CD" w:rsidRDefault="00CF685E" w:rsidP="00CF685E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CF685E" w:rsidRPr="006857CD" w:rsidRDefault="00CF685E" w:rsidP="00CF685E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CF685E" w:rsidRPr="006857CD" w:rsidRDefault="00CF685E" w:rsidP="00CF685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CF685E" w:rsidRPr="006857CD" w:rsidRDefault="00CF685E" w:rsidP="00CF685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CF685E" w:rsidRPr="006857CD" w:rsidRDefault="00CF685E" w:rsidP="00CF685E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CF685E" w:rsidRPr="006857CD" w:rsidRDefault="00CF685E" w:rsidP="00CF685E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CF685E" w:rsidRPr="006857CD" w:rsidRDefault="00CF685E" w:rsidP="00CF685E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CF685E" w:rsidRPr="006857CD" w:rsidRDefault="00CF685E" w:rsidP="00CF685E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CF685E" w:rsidRPr="006857CD" w:rsidRDefault="00CF685E" w:rsidP="00CF685E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CF685E" w:rsidRPr="006857CD" w:rsidRDefault="00CF685E" w:rsidP="00CF685E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CF685E" w:rsidRPr="006857CD" w:rsidRDefault="00CF685E" w:rsidP="00CF685E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CF685E" w:rsidRPr="006857CD" w:rsidRDefault="00CF685E" w:rsidP="00CF685E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CF685E" w:rsidRPr="006857CD" w:rsidRDefault="00CF685E" w:rsidP="00CF685E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CF685E" w:rsidRPr="006857CD" w:rsidRDefault="00CF685E" w:rsidP="00CF685E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CF685E" w:rsidRPr="006857CD" w:rsidRDefault="00CF685E" w:rsidP="00CF685E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CF685E" w:rsidRPr="006857CD" w:rsidRDefault="00CF685E" w:rsidP="00CF685E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CF685E" w:rsidRPr="006857CD" w:rsidRDefault="00CF685E" w:rsidP="00CF685E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CF685E" w:rsidRPr="006857CD" w:rsidRDefault="00CF685E" w:rsidP="00CF685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CF685E" w:rsidRPr="006857CD" w:rsidRDefault="00CF685E" w:rsidP="00CF685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CF685E" w:rsidRPr="006857CD" w:rsidRDefault="00CF685E" w:rsidP="00CF685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CF685E" w:rsidRPr="006857CD" w:rsidRDefault="00CF685E" w:rsidP="00CF685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CF685E" w:rsidRPr="006857CD" w:rsidRDefault="00CF685E" w:rsidP="00CF685E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CF685E" w:rsidRPr="006857CD" w:rsidRDefault="00CF685E" w:rsidP="00CF685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CF685E" w:rsidRPr="006857CD" w:rsidRDefault="00CF685E" w:rsidP="00CF685E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CF685E" w:rsidRPr="006857CD" w:rsidRDefault="00CF685E" w:rsidP="00CF685E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CF685E" w:rsidRPr="006857CD" w:rsidRDefault="00CF685E" w:rsidP="00CF685E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CF685E" w:rsidRPr="006857CD" w:rsidRDefault="00CF685E" w:rsidP="00CF685E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CF685E" w:rsidRPr="006857CD" w:rsidRDefault="00CF685E" w:rsidP="00CF685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CF685E" w:rsidRPr="006857CD" w:rsidRDefault="00CF685E" w:rsidP="00CF685E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CF685E" w:rsidRPr="006857CD" w:rsidRDefault="00CF685E" w:rsidP="00CF685E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CF685E" w:rsidRPr="006857CD" w:rsidRDefault="00CF685E" w:rsidP="00CF685E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CF685E" w:rsidRPr="006857CD" w:rsidRDefault="00CF685E" w:rsidP="00CF685E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CF685E" w:rsidRPr="006857CD" w:rsidRDefault="00CF685E" w:rsidP="00CF685E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CF685E" w:rsidRPr="006857CD" w:rsidRDefault="00CF685E" w:rsidP="00CF685E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CF685E" w:rsidRPr="006857CD" w:rsidRDefault="00CF685E" w:rsidP="00CF685E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CF685E" w:rsidRPr="006857CD" w:rsidRDefault="00CF685E" w:rsidP="00CF685E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CF685E" w:rsidRPr="006857CD" w:rsidRDefault="00CF685E" w:rsidP="00CF685E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CF685E" w:rsidRPr="006857CD" w:rsidRDefault="00CF685E" w:rsidP="00CF685E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CF685E" w:rsidRPr="006857CD" w:rsidRDefault="00CF685E" w:rsidP="00CF685E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CF685E" w:rsidRPr="006857CD" w:rsidRDefault="00CF685E" w:rsidP="00CF685E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CF685E" w:rsidRPr="006857CD" w:rsidRDefault="00CF685E" w:rsidP="00CF685E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CF685E" w:rsidRPr="006857CD" w:rsidRDefault="00CF685E" w:rsidP="00CF685E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CF685E" w:rsidRPr="006857CD" w:rsidRDefault="00CF685E" w:rsidP="00CF685E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CF685E" w:rsidRPr="006857CD" w:rsidRDefault="00CF685E" w:rsidP="00CF685E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CF685E" w:rsidRPr="006857CD" w:rsidRDefault="00CF685E" w:rsidP="00CF685E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CF685E" w:rsidRPr="006857CD" w:rsidRDefault="00CF685E" w:rsidP="00CF685E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CF685E" w:rsidRPr="006857CD" w:rsidRDefault="00CF685E" w:rsidP="00CF685E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CF685E" w:rsidRPr="006857CD" w:rsidRDefault="00CF685E" w:rsidP="00CF685E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CF685E" w:rsidRPr="006857CD" w:rsidRDefault="00CF685E" w:rsidP="00CF685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CF685E" w:rsidRPr="006857CD" w:rsidRDefault="00CF685E" w:rsidP="00CF685E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demais Estados, </w:t>
      </w:r>
      <w:r w:rsidRPr="006857CD">
        <w:rPr>
          <w:rFonts w:ascii="Arial" w:hAnsi="Arial" w:cs="Arial"/>
          <w:sz w:val="22"/>
        </w:rPr>
        <w:lastRenderedPageBreak/>
        <w:t>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CF685E" w:rsidRPr="006857CD" w:rsidRDefault="00CF685E" w:rsidP="00CF685E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CF685E" w:rsidRPr="006857CD" w:rsidRDefault="00CF685E" w:rsidP="00CF685E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CF685E" w:rsidRPr="006857CD" w:rsidRDefault="00CF685E" w:rsidP="00CF685E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CF685E" w:rsidRPr="006857CD" w:rsidRDefault="00CF685E" w:rsidP="00CF685E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CF685E" w:rsidRPr="006857CD" w:rsidRDefault="00CF685E" w:rsidP="00CF685E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CF685E" w:rsidRPr="006857CD" w:rsidRDefault="00CF685E" w:rsidP="00CF685E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CF685E" w:rsidRPr="006857CD" w:rsidRDefault="00CF685E" w:rsidP="00CF685E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CF685E" w:rsidRPr="006857CD" w:rsidRDefault="00CF685E" w:rsidP="00CF685E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CF685E" w:rsidRPr="006857CD" w:rsidRDefault="00CF685E" w:rsidP="00CF685E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CF685E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CF685E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CF685E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CF685E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CF685E" w:rsidRPr="006857CD" w:rsidRDefault="00CF685E" w:rsidP="00CF685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CF685E" w:rsidRPr="006857CD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CF685E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F685E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CF685E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CF685E" w:rsidRPr="00891BA2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13 de maio de 2019</w:t>
      </w:r>
      <w:r w:rsidRPr="00531AE3">
        <w:rPr>
          <w:rFonts w:ascii="Arial" w:eastAsia="Times New Roman" w:hAnsi="Arial" w:cs="Arial"/>
          <w:sz w:val="22"/>
          <w:lang w:eastAsia="pt-BR"/>
        </w:rPr>
        <w:t>.</w:t>
      </w:r>
    </w:p>
    <w:p w:rsidR="00CF685E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SILVIO MOCELIN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Testemunhas: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31AE3">
        <w:rPr>
          <w:rFonts w:ascii="Arial" w:eastAsia="Times New Roman" w:hAnsi="Arial" w:cs="Arial"/>
          <w:sz w:val="22"/>
          <w:lang w:eastAsia="pt-BR"/>
        </w:rPr>
        <w:tab/>
      </w:r>
      <w:r w:rsidRPr="00531AE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JHONAS PEZZINI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31AE3">
        <w:rPr>
          <w:rFonts w:ascii="Arial" w:eastAsia="Times New Roman" w:hAnsi="Arial" w:cs="Arial"/>
          <w:sz w:val="22"/>
          <w:lang w:eastAsia="pt-BR"/>
        </w:rPr>
        <w:t>OAB/SC 33678</w:t>
      </w:r>
    </w:p>
    <w:p w:rsidR="00CF685E" w:rsidRPr="00531AE3" w:rsidRDefault="00CF685E" w:rsidP="00CF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sectPr w:rsidR="00CF685E" w:rsidRPr="00531AE3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CF685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F685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F685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F685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CE40567" wp14:editId="22AFF13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685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F685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F685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F685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685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F685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F685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F685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F685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F685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F685E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436AA"/>
    <w:rsid w:val="00A45D62"/>
    <w:rsid w:val="00C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3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3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36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36AA"/>
  </w:style>
  <w:style w:type="paragraph" w:styleId="Textodebalo">
    <w:name w:val="Balloon Text"/>
    <w:basedOn w:val="Normal"/>
    <w:link w:val="TextodebaloChar"/>
    <w:uiPriority w:val="99"/>
    <w:semiHidden/>
    <w:unhideWhenUsed/>
    <w:rsid w:val="000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6A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CF685E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CF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36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36A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36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36AA"/>
  </w:style>
  <w:style w:type="paragraph" w:styleId="Textodebalo">
    <w:name w:val="Balloon Text"/>
    <w:basedOn w:val="Normal"/>
    <w:link w:val="TextodebaloChar"/>
    <w:uiPriority w:val="99"/>
    <w:semiHidden/>
    <w:unhideWhenUsed/>
    <w:rsid w:val="000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6A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CF685E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CF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3614</Words>
  <Characters>19520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2019-05-13T12:14:00Z</cp:lastPrinted>
  <dcterms:created xsi:type="dcterms:W3CDTF">2019-05-13T12:15:00Z</dcterms:created>
  <dcterms:modified xsi:type="dcterms:W3CDTF">2019-05-13T12:15:00Z</dcterms:modified>
</cp:coreProperties>
</file>