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Nº140/2020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D0F7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8D0F7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0F7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8D0F7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8D0F7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15/02/19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0F7C">
        <w:rPr>
          <w:rFonts w:eastAsia="Times New Roman"/>
          <w:sz w:val="24"/>
          <w:szCs w:val="20"/>
          <w:lang w:eastAsia="pt-BR"/>
        </w:rPr>
        <w:tab/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0F7C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8D0F7C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A404F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 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8D0F7C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A404F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MHNET TELECOMUNICAÇÕES EIRELI 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404F2">
        <w:rPr>
          <w:rFonts w:ascii="Arial" w:eastAsia="Times New Roman" w:hAnsi="Arial" w:cs="Arial"/>
          <w:noProof/>
          <w:sz w:val="18"/>
          <w:szCs w:val="18"/>
          <w:lang w:eastAsia="pt-BR"/>
        </w:rPr>
        <w:t>Avenida Presidente Kennedy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404F2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404F2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05.245.502/0001-04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D0F7C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Patrick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Canton</w:t>
      </w:r>
      <w:proofErr w:type="spellEnd"/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D0F7C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15/02/2019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a vigência do  Contrato Administrativo nº15/2019 por  um período de 12 (doze) meses. Tendo início da vigência em 01/01/2021  e  término em 31/12/2021.     </w:t>
      </w: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Segunda: O valor pela prestação de serviço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mensal  permanecerá emR$2.750,00 (dois mil, setecentos e cinquenta reais), perfazendo um total de R$33.000,00 (trinta e três mil reais)  para o ano de 2021.</w:t>
      </w: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Terceira: De comum acordo fica alterado o índice de reajuste da cláusula quinta do Contrato nº15/2019 sendo substituído o IGP-M/FGV (Índice Geral de Preços do Mercado) pelo INPC  (Índice N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acional de Preços ao Consumidor). </w:t>
      </w: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Quarta: Permanecendo em vigor as demais cláusulas  e condições  constantes no Cont</w:t>
      </w:r>
      <w:r>
        <w:rPr>
          <w:rFonts w:ascii="Arial" w:eastAsia="Times New Roman" w:hAnsi="Arial" w:cs="Arial"/>
          <w:sz w:val="18"/>
          <w:szCs w:val="18"/>
          <w:lang w:eastAsia="pt-BR"/>
        </w:rPr>
        <w:t>rato Administrativo nº15/2.019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, não alteradas pelo presente instrumento.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24 de dezembro de 2020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PATRICK CANTON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D0F7C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Nº140/2020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D0F7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8D0F7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404F2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D0F7C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8D0F7C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8D0F7C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15/02/2019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24/12/2020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D0F7C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A404F2" w:rsidRPr="008D0F7C" w:rsidRDefault="00A404F2" w:rsidP="00A404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404F2" w:rsidRPr="008D0F7C" w:rsidRDefault="00A404F2" w:rsidP="00A404F2"/>
    <w:p w:rsidR="00472E5C" w:rsidRDefault="00F24AAF"/>
    <w:sectPr w:rsidR="00472E5C" w:rsidSect="00A404F2">
      <w:headerReference w:type="default" r:id="rId6"/>
      <w:pgSz w:w="12242" w:h="15842"/>
      <w:pgMar w:top="720" w:right="760" w:bottom="709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AF" w:rsidRDefault="00F24AAF" w:rsidP="00A404F2">
      <w:pPr>
        <w:spacing w:after="0" w:line="240" w:lineRule="auto"/>
      </w:pPr>
      <w:r>
        <w:separator/>
      </w:r>
    </w:p>
  </w:endnote>
  <w:endnote w:type="continuationSeparator" w:id="0">
    <w:p w:rsidR="00F24AAF" w:rsidRDefault="00F24AAF" w:rsidP="00A4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AF" w:rsidRDefault="00F24AAF" w:rsidP="00A404F2">
      <w:pPr>
        <w:spacing w:after="0" w:line="240" w:lineRule="auto"/>
      </w:pPr>
      <w:r>
        <w:separator/>
      </w:r>
    </w:p>
  </w:footnote>
  <w:footnote w:type="continuationSeparator" w:id="0">
    <w:p w:rsidR="00F24AAF" w:rsidRDefault="00F24AAF" w:rsidP="00A4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24AA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4944F9A" wp14:editId="18BE85A0">
                <wp:extent cx="1219200" cy="1193800"/>
                <wp:effectExtent l="0" t="0" r="0" b="6350"/>
                <wp:docPr id="16" name="Imagem 1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24AAF" w:rsidP="00A404F2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F24AAF" w:rsidP="00A404F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F24AAF" w:rsidP="00A404F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24AA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24AAF" w:rsidP="00A404F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24AA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24AAF" w:rsidP="00A404F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F24AAF" w:rsidP="00A404F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F24AAF" w:rsidP="00A404F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24AAF" w:rsidP="00A404F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24A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F2"/>
    <w:rsid w:val="00A404F2"/>
    <w:rsid w:val="00DA6B45"/>
    <w:rsid w:val="00F24AA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0F92"/>
  <w15:chartTrackingRefBased/>
  <w15:docId w15:val="{93C06A1A-544B-409D-8BF7-479BD52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04F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404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0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4F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A404F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2020-12-24T10:46:00Z</dcterms:created>
  <dcterms:modified xsi:type="dcterms:W3CDTF">2020-12-24T10:50:00Z</dcterms:modified>
</cp:coreProperties>
</file>