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92" w:rsidRPr="00E4496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r w:rsidRPr="0052552D">
        <w:rPr>
          <w:rFonts w:ascii="Arial" w:eastAsia="Times New Roman" w:hAnsi="Arial" w:cs="Arial"/>
          <w:b/>
          <w:szCs w:val="20"/>
          <w:u w:val="single"/>
          <w:lang w:eastAsia="pt-BR"/>
        </w:rPr>
        <w:t>CONTRATO DE ADITIVO Nº46/2011</w:t>
      </w:r>
    </w:p>
    <w:p w:rsidR="005F4F92" w:rsidRPr="00E4496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p>
    <w:p w:rsidR="005F4F92" w:rsidRPr="00E4496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p>
    <w:p w:rsidR="005F4F92" w:rsidRPr="00E4496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r w:rsidRPr="0052552D">
        <w:rPr>
          <w:rFonts w:ascii="Arial" w:eastAsia="Times New Roman" w:hAnsi="Arial" w:cs="Arial"/>
          <w:b/>
          <w:szCs w:val="20"/>
          <w:u w:val="single"/>
          <w:lang w:eastAsia="pt-BR"/>
        </w:rPr>
        <w:t xml:space="preserve">SEXTO </w:t>
      </w:r>
      <w:r w:rsidRPr="00E44962">
        <w:rPr>
          <w:rFonts w:ascii="Arial" w:eastAsia="Times New Roman" w:hAnsi="Arial" w:cs="Arial"/>
          <w:b/>
          <w:szCs w:val="20"/>
          <w:u w:val="single"/>
          <w:lang w:eastAsia="pt-BR"/>
        </w:rPr>
        <w:t>TERMO ADITIVO DE CONTRATO</w:t>
      </w:r>
    </w:p>
    <w:p w:rsidR="005F4F92" w:rsidRPr="00E44962" w:rsidRDefault="005F4F92" w:rsidP="0052552D">
      <w:pPr>
        <w:overflowPunct w:val="0"/>
        <w:autoSpaceDE w:val="0"/>
        <w:autoSpaceDN w:val="0"/>
        <w:adjustRightInd w:val="0"/>
        <w:spacing w:after="0" w:line="240" w:lineRule="auto"/>
        <w:ind w:right="-603"/>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ind w:right="-603"/>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ind w:right="-603"/>
        <w:jc w:val="both"/>
        <w:textAlignment w:val="baseline"/>
        <w:rPr>
          <w:rFonts w:ascii="Arial" w:eastAsia="Times New Roman" w:hAnsi="Arial" w:cs="Arial"/>
          <w:szCs w:val="20"/>
          <w:lang w:eastAsia="pt-BR"/>
        </w:rPr>
      </w:pPr>
      <w:r w:rsidRPr="00E44962">
        <w:rPr>
          <w:rFonts w:ascii="Arial" w:eastAsia="Times New Roman" w:hAnsi="Arial" w:cs="Arial"/>
          <w:szCs w:val="20"/>
          <w:lang w:eastAsia="pt-BR"/>
        </w:rPr>
        <w:t xml:space="preserve">CONTRATO Nº </w:t>
      </w:r>
      <w:r w:rsidRPr="0052552D">
        <w:rPr>
          <w:rFonts w:ascii="Arial" w:eastAsia="Times New Roman" w:hAnsi="Arial" w:cs="Arial"/>
          <w:szCs w:val="20"/>
          <w:lang w:eastAsia="pt-BR"/>
        </w:rPr>
        <w:t>139</w:t>
      </w:r>
      <w:r w:rsidRPr="00E44962">
        <w:rPr>
          <w:rFonts w:ascii="Arial" w:eastAsia="Times New Roman" w:hAnsi="Arial" w:cs="Arial"/>
          <w:szCs w:val="20"/>
          <w:lang w:eastAsia="pt-BR"/>
        </w:rPr>
        <w:t>/</w:t>
      </w:r>
      <w:r w:rsidRPr="0052552D">
        <w:rPr>
          <w:rFonts w:ascii="Arial" w:eastAsia="Times New Roman" w:hAnsi="Arial" w:cs="Arial"/>
          <w:szCs w:val="20"/>
          <w:lang w:eastAsia="pt-BR"/>
        </w:rPr>
        <w:t>2019</w:t>
      </w:r>
      <w:r w:rsidRPr="00E44962">
        <w:rPr>
          <w:rFonts w:ascii="Arial" w:eastAsia="Times New Roman" w:hAnsi="Arial" w:cs="Arial"/>
          <w:szCs w:val="20"/>
          <w:lang w:eastAsia="pt-BR"/>
        </w:rPr>
        <w:t xml:space="preserve"> DATA: </w:t>
      </w:r>
      <w:r w:rsidRPr="0052552D">
        <w:rPr>
          <w:rFonts w:ascii="Arial" w:eastAsia="Times New Roman" w:hAnsi="Arial" w:cs="Arial"/>
          <w:szCs w:val="20"/>
          <w:lang w:eastAsia="pt-BR"/>
        </w:rPr>
        <w:t>13/12/19</w:t>
      </w:r>
    </w:p>
    <w:p w:rsidR="005F4F92" w:rsidRPr="00E44962" w:rsidRDefault="005F4F92" w:rsidP="0052552D">
      <w:pPr>
        <w:overflowPunct w:val="0"/>
        <w:autoSpaceDE w:val="0"/>
        <w:autoSpaceDN w:val="0"/>
        <w:adjustRightInd w:val="0"/>
        <w:spacing w:after="0" w:line="240" w:lineRule="auto"/>
        <w:ind w:right="-603"/>
        <w:jc w:val="both"/>
        <w:textAlignment w:val="baseline"/>
        <w:rPr>
          <w:rFonts w:ascii="Arial" w:eastAsia="Times New Roman" w:hAnsi="Arial" w:cs="Arial"/>
          <w:szCs w:val="20"/>
          <w:lang w:eastAsia="pt-BR"/>
        </w:rPr>
      </w:pPr>
      <w:r w:rsidRPr="00E44962">
        <w:rPr>
          <w:rFonts w:ascii="Arial" w:eastAsia="Times New Roman" w:hAnsi="Arial" w:cs="Arial"/>
          <w:szCs w:val="20"/>
          <w:lang w:eastAsia="pt-BR"/>
        </w:rPr>
        <w:tab/>
      </w:r>
    </w:p>
    <w:p w:rsidR="005F4F92" w:rsidRPr="0052552D" w:rsidRDefault="005F4F92" w:rsidP="0052552D">
      <w:pPr>
        <w:autoSpaceDE w:val="0"/>
        <w:autoSpaceDN w:val="0"/>
        <w:adjustRightInd w:val="0"/>
        <w:jc w:val="both"/>
        <w:rPr>
          <w:rFonts w:ascii="Arial" w:hAnsi="Arial" w:cs="Arial"/>
          <w:szCs w:val="20"/>
        </w:rPr>
      </w:pPr>
      <w:r w:rsidRPr="00E44962">
        <w:rPr>
          <w:rFonts w:ascii="Arial" w:eastAsia="Times New Roman" w:hAnsi="Arial" w:cs="Arial"/>
          <w:szCs w:val="20"/>
          <w:lang w:eastAsia="pt-BR"/>
        </w:rPr>
        <w:t xml:space="preserve"> </w:t>
      </w:r>
      <w:r w:rsidRPr="0052552D">
        <w:rPr>
          <w:rFonts w:ascii="Arial" w:hAnsi="Arial" w:cs="Arial"/>
          <w:szCs w:val="20"/>
        </w:rPr>
        <w:t xml:space="preserve">PARTES: </w:t>
      </w:r>
      <w:r w:rsidRPr="0052552D">
        <w:rPr>
          <w:rFonts w:ascii="Arial" w:hAnsi="Arial" w:cs="Arial"/>
          <w:b/>
          <w:szCs w:val="20"/>
        </w:rPr>
        <w:t>MUNICÍPIO DE ÁGUAS FRIAS</w:t>
      </w:r>
      <w:r w:rsidRPr="0052552D">
        <w:rPr>
          <w:rFonts w:ascii="Arial" w:hAnsi="Arial" w:cs="Arial"/>
          <w:szCs w:val="20"/>
        </w:rPr>
        <w:t>, Estado de Santa Catarina, com endereço na Rua Sete de Setembro nº512, centro, cidade de Águas Frias-SC, inscrita no CNPJ sob o nº 95.990.180/0001-02, neste ato representada por seu PREFEITO, Senhor LUIZ JOSÉ DAGA, doravante denominada simplesmente de CONTRATANTE e a Empresa GOVERNANÇABRASIL SUL TECNOLOG</w:t>
      </w:r>
      <w:r w:rsidR="0052552D" w:rsidRPr="0052552D">
        <w:rPr>
          <w:rFonts w:ascii="Arial" w:hAnsi="Arial" w:cs="Arial"/>
          <w:szCs w:val="20"/>
        </w:rPr>
        <w:t>IA LTDA, com sede na Rua Olinda</w:t>
      </w:r>
      <w:r w:rsidRPr="0052552D">
        <w:rPr>
          <w:rFonts w:ascii="Arial" w:hAnsi="Arial" w:cs="Arial"/>
          <w:szCs w:val="20"/>
        </w:rPr>
        <w:t>, São Geraldo , Porto Alegre - RS inscrita no CNPJ sob o nº. 04.311.157/0001-99 neste ato representada por seu representante legal Senhor RAFAEL MARIO SEBEN, doravante denominada simplesmente de CONTRATADA, em decorrência do Processo de Licitação Nº91/2.019, na modalidade Pregão Nº37/2.019, homologado em 13/12/2019, mediante sujeição mútua às normas constantes da Lei Nº 8.666, de 21/06/93 e legislação pertinente, resolvem de comum acordo firmar o presente instrumento, pelas cláusulas e condições seguintes:</w:t>
      </w:r>
    </w:p>
    <w:p w:rsidR="005F4F92" w:rsidRPr="0052552D" w:rsidRDefault="005F4F92" w:rsidP="0052552D">
      <w:pPr>
        <w:spacing w:after="120"/>
        <w:jc w:val="both"/>
        <w:rPr>
          <w:rFonts w:ascii="Arial" w:hAnsi="Arial" w:cs="Arial"/>
          <w:b/>
          <w:szCs w:val="20"/>
        </w:rPr>
      </w:pPr>
      <w:r w:rsidRPr="0052552D">
        <w:rPr>
          <w:rFonts w:ascii="Arial" w:hAnsi="Arial" w:cs="Arial"/>
          <w:b/>
          <w:szCs w:val="20"/>
        </w:rPr>
        <w:t xml:space="preserve">CLÁUSULA PRIMEIRA – DO OBJETO </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xml:space="preserve">O objeto do presente Termo Aditivo consiste na alteração do Contrato Administrativo nº 139/2019, que tem como objeto a </w:t>
      </w:r>
      <w:r w:rsidRPr="0052552D">
        <w:rPr>
          <w:rFonts w:ascii="Arial" w:hAnsi="Arial" w:cs="Arial"/>
          <w:b/>
          <w:szCs w:val="20"/>
        </w:rPr>
        <w:t xml:space="preserve">CONTRATAÇÃO </w:t>
      </w:r>
      <w:r w:rsidRPr="0052552D">
        <w:rPr>
          <w:rFonts w:ascii="Arial" w:hAnsi="Arial" w:cs="Arial"/>
          <w:b/>
          <w:bCs/>
          <w:szCs w:val="20"/>
        </w:rPr>
        <w:t xml:space="preserve">GOVBR NUVEM: AMBIENTE CORPORATIVO DE TI EM NUVEM: </w:t>
      </w:r>
      <w:r w:rsidRPr="0052552D">
        <w:rPr>
          <w:rFonts w:ascii="Arial" w:hAnsi="Arial" w:cs="Arial"/>
          <w:szCs w:val="20"/>
        </w:rPr>
        <w:t>Fornecimento de serviço de sustentação e ambiente corporativo de TI para garantir o funcionamento da solução integrada de software de gestão, compreendendo a hospedagem, o monitoramento e o backup (cópia de segurança), caracterizado como provedor em nuvem, 07 dias por semana e 24 horas por dia, com performance adequada e toda a infraestrutura de hardware e software necessários à execução do sistema e seus módulos aplicativos a partir das estações de trabalho da Contratante. Com toda a responsabilidade garantindo que os equipamentos para uso do cliente final, como notebooks, desktops e outros quaisquer tipos de equipamentos possam trabalhar com o máximo de desenvoltura tecnológica.</w:t>
      </w:r>
    </w:p>
    <w:p w:rsidR="002758C8" w:rsidRPr="0052552D" w:rsidRDefault="002758C8" w:rsidP="0052552D">
      <w:pPr>
        <w:autoSpaceDE w:val="0"/>
        <w:autoSpaceDN w:val="0"/>
        <w:adjustRightInd w:val="0"/>
        <w:jc w:val="both"/>
        <w:rPr>
          <w:rFonts w:ascii="Arial" w:hAnsi="Arial" w:cs="Arial"/>
          <w:szCs w:val="20"/>
        </w:rPr>
      </w:pPr>
      <w:r w:rsidRPr="0052552D">
        <w:rPr>
          <w:rFonts w:ascii="Arial" w:hAnsi="Arial" w:cs="Arial"/>
          <w:szCs w:val="20"/>
        </w:rPr>
        <w:t xml:space="preserve">Em conformidade com o previsto no item 4.3 da cláusula quarta do Contrato nº139/2019 </w:t>
      </w:r>
      <w:r w:rsidR="0052552D" w:rsidRPr="0052552D">
        <w:rPr>
          <w:rFonts w:ascii="Arial" w:hAnsi="Arial" w:cs="Arial"/>
          <w:szCs w:val="20"/>
        </w:rPr>
        <w:t>será implantado e realizado a locação do seguinte sistema:</w:t>
      </w:r>
    </w:p>
    <w:tbl>
      <w:tblPr>
        <w:tblW w:w="8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0"/>
        <w:gridCol w:w="1709"/>
        <w:gridCol w:w="747"/>
        <w:gridCol w:w="567"/>
        <w:gridCol w:w="1418"/>
        <w:gridCol w:w="1419"/>
      </w:tblGrid>
      <w:tr w:rsidR="002758C8" w:rsidRPr="0052552D" w:rsidTr="0052552D">
        <w:tc>
          <w:tcPr>
            <w:tcW w:w="567"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b/>
                <w:szCs w:val="20"/>
                <w:lang w:eastAsia="pt-BR"/>
              </w:rPr>
            </w:pPr>
            <w:r w:rsidRPr="0052552D">
              <w:rPr>
                <w:rFonts w:ascii="Arial" w:eastAsia="Times New Roman" w:hAnsi="Arial" w:cs="Arial"/>
                <w:b/>
                <w:szCs w:val="20"/>
                <w:lang w:eastAsia="pt-BR"/>
              </w:rPr>
              <w:t>Item</w:t>
            </w:r>
          </w:p>
        </w:tc>
        <w:tc>
          <w:tcPr>
            <w:tcW w:w="2260"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b/>
                <w:szCs w:val="20"/>
                <w:lang w:eastAsia="pt-BR"/>
              </w:rPr>
            </w:pPr>
            <w:r w:rsidRPr="0052552D">
              <w:rPr>
                <w:rFonts w:ascii="Arial" w:eastAsia="Times New Roman" w:hAnsi="Arial" w:cs="Arial"/>
                <w:b/>
                <w:szCs w:val="20"/>
                <w:lang w:eastAsia="pt-BR"/>
              </w:rPr>
              <w:t>Objeto</w:t>
            </w:r>
          </w:p>
        </w:tc>
        <w:tc>
          <w:tcPr>
            <w:tcW w:w="170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b/>
                <w:szCs w:val="20"/>
                <w:lang w:eastAsia="pt-BR"/>
              </w:rPr>
            </w:pPr>
            <w:r w:rsidRPr="0052552D">
              <w:rPr>
                <w:rFonts w:ascii="Arial" w:eastAsia="Times New Roman" w:hAnsi="Arial" w:cs="Arial"/>
                <w:b/>
                <w:szCs w:val="20"/>
                <w:lang w:eastAsia="pt-BR"/>
              </w:rPr>
              <w:t>Descrição</w:t>
            </w:r>
          </w:p>
        </w:tc>
        <w:tc>
          <w:tcPr>
            <w:tcW w:w="747"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b/>
                <w:szCs w:val="20"/>
                <w:lang w:eastAsia="pt-BR"/>
              </w:rPr>
            </w:pPr>
            <w:proofErr w:type="spellStart"/>
            <w:r w:rsidRPr="0052552D">
              <w:rPr>
                <w:rFonts w:ascii="Arial" w:eastAsia="Times New Roman" w:hAnsi="Arial" w:cs="Arial"/>
                <w:b/>
                <w:szCs w:val="20"/>
                <w:lang w:eastAsia="pt-BR"/>
              </w:rPr>
              <w:t>Qtde</w:t>
            </w:r>
            <w:proofErr w:type="spellEnd"/>
          </w:p>
        </w:tc>
        <w:tc>
          <w:tcPr>
            <w:tcW w:w="567" w:type="dxa"/>
          </w:tcPr>
          <w:p w:rsidR="002758C8" w:rsidRPr="0052552D" w:rsidRDefault="002758C8" w:rsidP="0052552D">
            <w:pPr>
              <w:overflowPunct w:val="0"/>
              <w:autoSpaceDE w:val="0"/>
              <w:autoSpaceDN w:val="0"/>
              <w:adjustRightInd w:val="0"/>
              <w:spacing w:after="0" w:line="240" w:lineRule="auto"/>
              <w:ind w:left="-70" w:right="-70"/>
              <w:contextualSpacing/>
              <w:jc w:val="both"/>
              <w:textAlignment w:val="baseline"/>
              <w:rPr>
                <w:rFonts w:ascii="Arial" w:eastAsia="Times New Roman" w:hAnsi="Arial" w:cs="Arial"/>
                <w:b/>
                <w:szCs w:val="20"/>
                <w:lang w:eastAsia="pt-BR"/>
              </w:rPr>
            </w:pPr>
            <w:r w:rsidRPr="0052552D">
              <w:rPr>
                <w:rFonts w:ascii="Arial" w:eastAsia="Times New Roman" w:hAnsi="Arial" w:cs="Arial"/>
                <w:b/>
                <w:szCs w:val="20"/>
                <w:lang w:eastAsia="pt-BR"/>
              </w:rPr>
              <w:t>UN</w:t>
            </w:r>
          </w:p>
        </w:tc>
        <w:tc>
          <w:tcPr>
            <w:tcW w:w="1418"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b/>
                <w:szCs w:val="20"/>
                <w:lang w:eastAsia="pt-BR"/>
              </w:rPr>
            </w:pPr>
            <w:r w:rsidRPr="0052552D">
              <w:rPr>
                <w:rFonts w:ascii="Arial" w:eastAsia="Times New Roman" w:hAnsi="Arial" w:cs="Arial"/>
                <w:b/>
                <w:szCs w:val="20"/>
                <w:lang w:eastAsia="pt-BR"/>
              </w:rPr>
              <w:t>Preço Unitário</w:t>
            </w:r>
          </w:p>
        </w:tc>
        <w:tc>
          <w:tcPr>
            <w:tcW w:w="141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b/>
                <w:szCs w:val="20"/>
                <w:lang w:eastAsia="pt-BR"/>
              </w:rPr>
            </w:pPr>
            <w:r w:rsidRPr="0052552D">
              <w:rPr>
                <w:rFonts w:ascii="Arial" w:eastAsia="Times New Roman" w:hAnsi="Arial" w:cs="Arial"/>
                <w:b/>
                <w:szCs w:val="20"/>
                <w:lang w:eastAsia="pt-BR"/>
              </w:rPr>
              <w:t>Valor Item</w:t>
            </w:r>
          </w:p>
        </w:tc>
      </w:tr>
      <w:tr w:rsidR="002758C8" w:rsidRPr="0052552D" w:rsidTr="0052552D">
        <w:tc>
          <w:tcPr>
            <w:tcW w:w="567"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23</w:t>
            </w:r>
          </w:p>
        </w:tc>
        <w:tc>
          <w:tcPr>
            <w:tcW w:w="2260"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 xml:space="preserve">Provimento Datacenter </w:t>
            </w:r>
          </w:p>
        </w:tc>
        <w:tc>
          <w:tcPr>
            <w:tcW w:w="170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 xml:space="preserve"> </w:t>
            </w:r>
          </w:p>
        </w:tc>
        <w:tc>
          <w:tcPr>
            <w:tcW w:w="747" w:type="dxa"/>
          </w:tcPr>
          <w:p w:rsidR="002758C8" w:rsidRPr="0052552D" w:rsidRDefault="002758C8" w:rsidP="0052552D">
            <w:pPr>
              <w:jc w:val="both"/>
              <w:rPr>
                <w:rFonts w:ascii="Arial" w:hAnsi="Arial" w:cs="Arial"/>
                <w:szCs w:val="20"/>
              </w:rPr>
            </w:pPr>
            <w:r w:rsidRPr="0052552D">
              <w:rPr>
                <w:rFonts w:ascii="Arial" w:eastAsia="Times New Roman" w:hAnsi="Arial" w:cs="Arial"/>
                <w:szCs w:val="20"/>
                <w:lang w:eastAsia="pt-BR"/>
              </w:rPr>
              <w:t>8,00</w:t>
            </w:r>
          </w:p>
        </w:tc>
        <w:tc>
          <w:tcPr>
            <w:tcW w:w="567" w:type="dxa"/>
          </w:tcPr>
          <w:p w:rsidR="002758C8" w:rsidRPr="0052552D" w:rsidRDefault="002758C8" w:rsidP="0052552D">
            <w:pPr>
              <w:overflowPunct w:val="0"/>
              <w:autoSpaceDE w:val="0"/>
              <w:autoSpaceDN w:val="0"/>
              <w:adjustRightInd w:val="0"/>
              <w:spacing w:after="0" w:line="240" w:lineRule="auto"/>
              <w:ind w:left="-70" w:right="-70"/>
              <w:contextualSpacing/>
              <w:jc w:val="both"/>
              <w:textAlignment w:val="baseline"/>
              <w:rPr>
                <w:rFonts w:ascii="Arial" w:eastAsia="Times New Roman" w:hAnsi="Arial" w:cs="Arial"/>
                <w:szCs w:val="20"/>
                <w:lang w:eastAsia="pt-BR"/>
              </w:rPr>
            </w:pPr>
            <w:proofErr w:type="spellStart"/>
            <w:r w:rsidRPr="0052552D">
              <w:rPr>
                <w:rFonts w:ascii="Arial" w:eastAsia="Times New Roman" w:hAnsi="Arial" w:cs="Arial"/>
                <w:szCs w:val="20"/>
                <w:lang w:eastAsia="pt-BR"/>
              </w:rPr>
              <w:t>ms</w:t>
            </w:r>
            <w:proofErr w:type="spellEnd"/>
          </w:p>
        </w:tc>
        <w:tc>
          <w:tcPr>
            <w:tcW w:w="1418"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2.870,00</w:t>
            </w:r>
          </w:p>
        </w:tc>
        <w:tc>
          <w:tcPr>
            <w:tcW w:w="141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22.960,00</w:t>
            </w:r>
          </w:p>
        </w:tc>
      </w:tr>
      <w:tr w:rsidR="002758C8" w:rsidRPr="0052552D" w:rsidTr="0052552D">
        <w:tc>
          <w:tcPr>
            <w:tcW w:w="567"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46</w:t>
            </w:r>
          </w:p>
        </w:tc>
        <w:tc>
          <w:tcPr>
            <w:tcW w:w="2260"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 xml:space="preserve">Serviços de Implantação - Datacenter </w:t>
            </w:r>
          </w:p>
        </w:tc>
        <w:tc>
          <w:tcPr>
            <w:tcW w:w="170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 xml:space="preserve"> </w:t>
            </w:r>
          </w:p>
        </w:tc>
        <w:tc>
          <w:tcPr>
            <w:tcW w:w="747"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1,00</w:t>
            </w:r>
          </w:p>
        </w:tc>
        <w:tc>
          <w:tcPr>
            <w:tcW w:w="567" w:type="dxa"/>
          </w:tcPr>
          <w:p w:rsidR="002758C8" w:rsidRPr="0052552D" w:rsidRDefault="002758C8" w:rsidP="0052552D">
            <w:pPr>
              <w:overflowPunct w:val="0"/>
              <w:autoSpaceDE w:val="0"/>
              <w:autoSpaceDN w:val="0"/>
              <w:adjustRightInd w:val="0"/>
              <w:spacing w:after="0" w:line="240" w:lineRule="auto"/>
              <w:ind w:left="-70" w:right="-70"/>
              <w:contextualSpacing/>
              <w:jc w:val="both"/>
              <w:textAlignment w:val="baseline"/>
              <w:rPr>
                <w:rFonts w:ascii="Arial" w:eastAsia="Times New Roman" w:hAnsi="Arial" w:cs="Arial"/>
                <w:szCs w:val="20"/>
                <w:lang w:eastAsia="pt-BR"/>
              </w:rPr>
            </w:pPr>
            <w:proofErr w:type="spellStart"/>
            <w:r w:rsidRPr="0052552D">
              <w:rPr>
                <w:rFonts w:ascii="Arial" w:eastAsia="Times New Roman" w:hAnsi="Arial" w:cs="Arial"/>
                <w:szCs w:val="20"/>
                <w:lang w:eastAsia="pt-BR"/>
              </w:rPr>
              <w:t>un</w:t>
            </w:r>
            <w:proofErr w:type="spellEnd"/>
          </w:p>
        </w:tc>
        <w:tc>
          <w:tcPr>
            <w:tcW w:w="1418"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6.436,84</w:t>
            </w:r>
          </w:p>
        </w:tc>
        <w:tc>
          <w:tcPr>
            <w:tcW w:w="141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6.436,84</w:t>
            </w:r>
          </w:p>
        </w:tc>
      </w:tr>
      <w:tr w:rsidR="002758C8" w:rsidRPr="0052552D" w:rsidTr="00CB58AD">
        <w:tc>
          <w:tcPr>
            <w:tcW w:w="7268" w:type="dxa"/>
            <w:gridSpan w:val="6"/>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Valor Total R$</w:t>
            </w:r>
          </w:p>
        </w:tc>
        <w:tc>
          <w:tcPr>
            <w:tcW w:w="1419" w:type="dxa"/>
          </w:tcPr>
          <w:p w:rsidR="002758C8" w:rsidRPr="0052552D" w:rsidRDefault="002758C8" w:rsidP="0052552D">
            <w:pPr>
              <w:overflowPunct w:val="0"/>
              <w:autoSpaceDE w:val="0"/>
              <w:autoSpaceDN w:val="0"/>
              <w:adjustRightInd w:val="0"/>
              <w:spacing w:after="0" w:line="240" w:lineRule="auto"/>
              <w:contextualSpacing/>
              <w:jc w:val="both"/>
              <w:textAlignment w:val="baseline"/>
              <w:rPr>
                <w:rFonts w:ascii="Arial" w:eastAsia="Times New Roman" w:hAnsi="Arial" w:cs="Arial"/>
                <w:szCs w:val="20"/>
                <w:lang w:eastAsia="pt-BR"/>
              </w:rPr>
            </w:pPr>
            <w:r w:rsidRPr="0052552D">
              <w:rPr>
                <w:rFonts w:ascii="Arial" w:eastAsia="Times New Roman" w:hAnsi="Arial" w:cs="Arial"/>
                <w:szCs w:val="20"/>
                <w:lang w:eastAsia="pt-BR"/>
              </w:rPr>
              <w:t>29.396,84</w:t>
            </w:r>
          </w:p>
        </w:tc>
      </w:tr>
    </w:tbl>
    <w:p w:rsidR="005F4F92" w:rsidRDefault="005F4F92" w:rsidP="0052552D">
      <w:pPr>
        <w:jc w:val="both"/>
        <w:rPr>
          <w:rFonts w:ascii="Arial" w:hAnsi="Arial" w:cs="Arial"/>
          <w:szCs w:val="20"/>
        </w:rPr>
      </w:pPr>
    </w:p>
    <w:p w:rsidR="0052552D" w:rsidRDefault="0052552D" w:rsidP="0052552D">
      <w:pPr>
        <w:jc w:val="both"/>
        <w:rPr>
          <w:rFonts w:ascii="Arial" w:hAnsi="Arial" w:cs="Arial"/>
          <w:szCs w:val="20"/>
        </w:rPr>
      </w:pPr>
      <w:r>
        <w:rPr>
          <w:rFonts w:ascii="Arial" w:hAnsi="Arial" w:cs="Arial"/>
          <w:szCs w:val="20"/>
        </w:rPr>
        <w:t xml:space="preserve">O Município de Águas Frias contratará os serviços de instalação </w:t>
      </w:r>
      <w:r w:rsidR="00CA5701">
        <w:rPr>
          <w:rFonts w:ascii="Arial" w:hAnsi="Arial" w:cs="Arial"/>
          <w:szCs w:val="20"/>
        </w:rPr>
        <w:t>e a Locação do GOVBR NUVEM  e nesse valor acima informado contemplará a Câmara de Vereadores de Águas Frias</w:t>
      </w:r>
      <w:r w:rsidR="00367481">
        <w:rPr>
          <w:rFonts w:ascii="Arial" w:hAnsi="Arial" w:cs="Arial"/>
          <w:szCs w:val="20"/>
        </w:rPr>
        <w:t xml:space="preserve"> t</w:t>
      </w:r>
      <w:bookmarkStart w:id="0" w:name="_GoBack"/>
      <w:bookmarkEnd w:id="0"/>
      <w:r w:rsidR="00CA5701">
        <w:rPr>
          <w:rFonts w:ascii="Arial" w:hAnsi="Arial" w:cs="Arial"/>
          <w:szCs w:val="20"/>
        </w:rPr>
        <w:t xml:space="preserve">ambém. </w:t>
      </w:r>
    </w:p>
    <w:p w:rsidR="00CA5701" w:rsidRPr="0052552D" w:rsidRDefault="00CA5701" w:rsidP="0052552D">
      <w:pPr>
        <w:jc w:val="both"/>
        <w:rPr>
          <w:rFonts w:ascii="Arial" w:hAnsi="Arial" w:cs="Arial"/>
          <w:szCs w:val="20"/>
        </w:rPr>
      </w:pPr>
    </w:p>
    <w:p w:rsidR="005F4F92" w:rsidRPr="0052552D" w:rsidRDefault="005F4F92" w:rsidP="0052552D">
      <w:pPr>
        <w:spacing w:after="120"/>
        <w:jc w:val="both"/>
        <w:rPr>
          <w:rFonts w:ascii="Arial" w:hAnsi="Arial" w:cs="Arial"/>
          <w:b/>
          <w:bCs/>
          <w:szCs w:val="20"/>
        </w:rPr>
      </w:pPr>
      <w:r w:rsidRPr="0052552D">
        <w:rPr>
          <w:rFonts w:ascii="Arial" w:hAnsi="Arial" w:cs="Arial"/>
          <w:b/>
          <w:szCs w:val="20"/>
        </w:rPr>
        <w:lastRenderedPageBreak/>
        <w:t xml:space="preserve">CLÁUSULA SEGUNDA – </w:t>
      </w:r>
      <w:r w:rsidRPr="0052552D">
        <w:rPr>
          <w:rFonts w:ascii="Arial" w:hAnsi="Arial" w:cs="Arial"/>
          <w:b/>
          <w:bCs/>
          <w:szCs w:val="20"/>
        </w:rPr>
        <w:t>ARQUITETURA E SEGURANÇA</w:t>
      </w:r>
    </w:p>
    <w:p w:rsidR="005F4F92" w:rsidRPr="0052552D" w:rsidRDefault="005F4F92" w:rsidP="0052552D">
      <w:pPr>
        <w:jc w:val="both"/>
        <w:rPr>
          <w:rFonts w:ascii="Arial" w:hAnsi="Arial" w:cs="Arial"/>
          <w:w w:val="99"/>
          <w:szCs w:val="20"/>
        </w:rPr>
      </w:pPr>
      <w:r w:rsidRPr="0052552D">
        <w:rPr>
          <w:rFonts w:ascii="Arial" w:hAnsi="Arial" w:cs="Arial"/>
          <w:szCs w:val="20"/>
        </w:rPr>
        <w:t>Para atender a este projeto, entendendo que qualquer infraestrutura por mais perfeita que seja, sempre será sujeita a indisponibilidades, por isso, interligação de três datacenters. Além das copias de segurança estarem replicadas para pelo menos dois locais diferentes da produção, mantemos um plano de continuidade para que em qualquer desastre do datacenter principal, as suas aplicações continuem com acesso disponível através de outro datacenter</w:t>
      </w:r>
      <w:r w:rsidRPr="0052552D">
        <w:rPr>
          <w:rFonts w:ascii="Arial" w:hAnsi="Arial" w:cs="Arial"/>
          <w:w w:val="99"/>
          <w:szCs w:val="20"/>
        </w:rPr>
        <w:t>.</w:t>
      </w:r>
    </w:p>
    <w:p w:rsidR="005F4F92" w:rsidRPr="0052552D" w:rsidRDefault="005F4F92" w:rsidP="0052552D">
      <w:pPr>
        <w:jc w:val="both"/>
        <w:rPr>
          <w:rFonts w:ascii="Arial" w:hAnsi="Arial" w:cs="Arial"/>
          <w:szCs w:val="20"/>
        </w:rPr>
      </w:pPr>
    </w:p>
    <w:p w:rsidR="005F4F92" w:rsidRPr="0052552D" w:rsidRDefault="005F4F92" w:rsidP="0052552D">
      <w:pPr>
        <w:spacing w:after="120"/>
        <w:jc w:val="both"/>
        <w:rPr>
          <w:rFonts w:ascii="Arial" w:hAnsi="Arial" w:cs="Arial"/>
          <w:b/>
          <w:szCs w:val="20"/>
        </w:rPr>
      </w:pPr>
      <w:r w:rsidRPr="0052552D">
        <w:rPr>
          <w:rFonts w:ascii="Arial" w:hAnsi="Arial" w:cs="Arial"/>
          <w:b/>
          <w:szCs w:val="20"/>
        </w:rPr>
        <w:t>CLÁUSULA TERCEIRA –INFRAESTRUTURA</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Disponibilização de uma infraestrutura completa, moderna, que utiliza os melhores equipamentos e dentro dos padrões internacionais de qualidade.</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Estrutura com duas redes elétricas, estabilizadas e controladas.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Geradores Redundantes de energia elétrica.</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Nobreaks redundantes com bancos acumuladores estacionários independentes.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Dependências com controle de acesso biométrico 24x7 com dois níveis de acesso.</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Sistemas de alarme de presença e controle de fumaça.</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Sistema de combate de incêndio com gás.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Sistema de CFTV Interno e Externo.</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Links dedicados de internet com redundância física (fibra ótica e radio) – (3 operadoras, 2</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provedores, e PPT/IX.BR)</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Sistema de climatização redundante e de precisão.</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Elevação de piso e passagens separadas de rede elétrica e lógica.</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Segurança física de blindagem certificada pelo exército brasileiro.</w:t>
      </w:r>
    </w:p>
    <w:p w:rsidR="005F4F92" w:rsidRPr="0052552D" w:rsidRDefault="005F4F92" w:rsidP="0052552D">
      <w:pPr>
        <w:jc w:val="both"/>
        <w:rPr>
          <w:rFonts w:ascii="Arial" w:hAnsi="Arial" w:cs="Arial"/>
          <w:szCs w:val="20"/>
        </w:rPr>
      </w:pPr>
      <w:r w:rsidRPr="0052552D">
        <w:rPr>
          <w:rFonts w:ascii="Arial" w:hAnsi="Arial" w:cs="Arial"/>
          <w:szCs w:val="20"/>
        </w:rPr>
        <w:t>• Servidores DELL com tecnologia Intel, com contratos de manutenção missão crítica 24x7.</w:t>
      </w:r>
    </w:p>
    <w:p w:rsidR="005F4F92" w:rsidRPr="0052552D" w:rsidRDefault="005F4F92" w:rsidP="0052552D">
      <w:pPr>
        <w:jc w:val="both"/>
        <w:rPr>
          <w:rFonts w:ascii="Arial" w:hAnsi="Arial" w:cs="Arial"/>
          <w:szCs w:val="20"/>
        </w:rPr>
      </w:pPr>
    </w:p>
    <w:p w:rsidR="005F4F92" w:rsidRPr="0052552D" w:rsidRDefault="005F4F92" w:rsidP="0052552D">
      <w:pPr>
        <w:widowControl w:val="0"/>
        <w:spacing w:after="120"/>
        <w:jc w:val="both"/>
        <w:rPr>
          <w:rFonts w:ascii="Arial" w:hAnsi="Arial" w:cs="Arial"/>
          <w:b/>
          <w:bCs/>
          <w:szCs w:val="20"/>
        </w:rPr>
      </w:pPr>
      <w:r w:rsidRPr="0052552D">
        <w:rPr>
          <w:rFonts w:ascii="Arial" w:hAnsi="Arial" w:cs="Arial"/>
          <w:b/>
          <w:bCs/>
          <w:szCs w:val="20"/>
        </w:rPr>
        <w:t>CLÁUSULA QUARTA-ATENDIMENTO E SUPORTE</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Horários de Atendimento:</w:t>
      </w:r>
    </w:p>
    <w:p w:rsidR="005F4F92" w:rsidRPr="0052552D" w:rsidRDefault="005F4F92" w:rsidP="0052552D">
      <w:pPr>
        <w:autoSpaceDE w:val="0"/>
        <w:autoSpaceDN w:val="0"/>
        <w:adjustRightInd w:val="0"/>
        <w:jc w:val="both"/>
        <w:rPr>
          <w:rFonts w:ascii="Arial" w:hAnsi="Arial" w:cs="Arial"/>
          <w:b/>
          <w:bCs/>
          <w:szCs w:val="20"/>
        </w:rPr>
      </w:pPr>
      <w:r w:rsidRPr="0052552D">
        <w:rPr>
          <w:rFonts w:ascii="Arial" w:hAnsi="Arial" w:cs="Arial"/>
          <w:b/>
          <w:bCs/>
          <w:szCs w:val="20"/>
        </w:rPr>
        <w:t>Serviço Disponibilidade</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Serviço de Hospedagem 24x7</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Monitoramento dos Ambientes 24x7</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lastRenderedPageBreak/>
        <w:t>Administração de banco de dados 9x5</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Administração dos servidores 9x5</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Suporte remoto 9x5</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Projetos 9x5</w:t>
      </w:r>
    </w:p>
    <w:p w:rsidR="005F4F92" w:rsidRPr="0052552D" w:rsidRDefault="005F4F92" w:rsidP="0052552D">
      <w:pPr>
        <w:widowControl w:val="0"/>
        <w:jc w:val="both"/>
        <w:rPr>
          <w:rFonts w:ascii="Arial" w:hAnsi="Arial" w:cs="Arial"/>
          <w:bCs/>
          <w:szCs w:val="20"/>
        </w:rPr>
      </w:pPr>
      <w:r w:rsidRPr="0052552D">
        <w:rPr>
          <w:rFonts w:ascii="Arial" w:hAnsi="Arial" w:cs="Arial"/>
          <w:szCs w:val="20"/>
        </w:rPr>
        <w:t>Plantão Técnico 9x7</w:t>
      </w:r>
      <w:r w:rsidRPr="0052552D">
        <w:rPr>
          <w:rFonts w:ascii="Arial" w:hAnsi="Arial" w:cs="Arial"/>
          <w:bCs/>
          <w:szCs w:val="20"/>
        </w:rPr>
        <w:t>.</w:t>
      </w:r>
    </w:p>
    <w:p w:rsidR="005F4F92" w:rsidRPr="0052552D" w:rsidRDefault="005F4F92" w:rsidP="0052552D">
      <w:pPr>
        <w:pStyle w:val="Corpodetexto2"/>
        <w:spacing w:after="0" w:line="240" w:lineRule="auto"/>
        <w:jc w:val="both"/>
        <w:rPr>
          <w:rFonts w:ascii="Arial" w:hAnsi="Arial" w:cs="Arial"/>
        </w:rPr>
      </w:pPr>
    </w:p>
    <w:p w:rsidR="005F4F92" w:rsidRPr="0052552D" w:rsidRDefault="005F4F92" w:rsidP="0052552D">
      <w:pPr>
        <w:autoSpaceDE w:val="0"/>
        <w:autoSpaceDN w:val="0"/>
        <w:adjustRightInd w:val="0"/>
        <w:spacing w:after="120"/>
        <w:jc w:val="both"/>
        <w:rPr>
          <w:rFonts w:ascii="Arial" w:hAnsi="Arial" w:cs="Arial"/>
          <w:b/>
          <w:bCs/>
          <w:szCs w:val="20"/>
        </w:rPr>
      </w:pPr>
      <w:r w:rsidRPr="0052552D">
        <w:rPr>
          <w:rFonts w:ascii="Arial" w:hAnsi="Arial" w:cs="Arial"/>
          <w:b/>
          <w:bCs/>
          <w:szCs w:val="20"/>
        </w:rPr>
        <w:t>CLÁUSULA QUINTA -SERVIÇOS INCLUSOS NA HOSPEDAGEM</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xml:space="preserve">• Internet redundante com 15 Mb/s </w:t>
      </w:r>
      <w:proofErr w:type="spellStart"/>
      <w:r w:rsidRPr="0052552D">
        <w:rPr>
          <w:rFonts w:ascii="Arial" w:hAnsi="Arial" w:cs="Arial"/>
          <w:szCs w:val="20"/>
        </w:rPr>
        <w:t>Full</w:t>
      </w:r>
      <w:proofErr w:type="spellEnd"/>
      <w:r w:rsidRPr="0052552D">
        <w:rPr>
          <w:rFonts w:ascii="Arial" w:hAnsi="Arial" w:cs="Arial"/>
          <w:szCs w:val="20"/>
        </w:rPr>
        <w:t xml:space="preserve"> Duplex e sem limite de tráfego 02 endereços de </w:t>
      </w:r>
      <w:proofErr w:type="spellStart"/>
      <w:r w:rsidRPr="0052552D">
        <w:rPr>
          <w:rFonts w:ascii="Arial" w:hAnsi="Arial" w:cs="Arial"/>
          <w:szCs w:val="20"/>
        </w:rPr>
        <w:t>IPs</w:t>
      </w:r>
      <w:proofErr w:type="spellEnd"/>
      <w:r w:rsidRPr="0052552D">
        <w:rPr>
          <w:rFonts w:ascii="Arial" w:hAnsi="Arial" w:cs="Arial"/>
          <w:szCs w:val="20"/>
        </w:rPr>
        <w:t xml:space="preserve"> públicos e exclusivos.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xml:space="preserve">• Firewall compartilhado e gerenciado pelo datacenter, </w:t>
      </w:r>
      <w:proofErr w:type="spellStart"/>
      <w:r w:rsidRPr="0052552D">
        <w:rPr>
          <w:rFonts w:ascii="Arial" w:hAnsi="Arial" w:cs="Arial"/>
          <w:szCs w:val="20"/>
        </w:rPr>
        <w:t>vlan</w:t>
      </w:r>
      <w:proofErr w:type="spellEnd"/>
      <w:r w:rsidRPr="0052552D">
        <w:rPr>
          <w:rFonts w:ascii="Arial" w:hAnsi="Arial" w:cs="Arial"/>
          <w:szCs w:val="20"/>
        </w:rPr>
        <w:t xml:space="preserve"> dedicada, com sistema de IPS/IDS, antivírus de borda e publicação ilimitada de portas.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Administração e suporte do ambiente Windows Server e suas funções (servidores hospedados)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Atualizações de segurança</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xml:space="preserve">• Snapshot </w:t>
      </w:r>
      <w:proofErr w:type="spellStart"/>
      <w:r w:rsidRPr="0052552D">
        <w:rPr>
          <w:rFonts w:ascii="Arial" w:hAnsi="Arial" w:cs="Arial"/>
          <w:szCs w:val="20"/>
        </w:rPr>
        <w:t>pré</w:t>
      </w:r>
      <w:proofErr w:type="spellEnd"/>
      <w:r w:rsidRPr="0052552D">
        <w:rPr>
          <w:rFonts w:ascii="Arial" w:hAnsi="Arial" w:cs="Arial"/>
          <w:szCs w:val="20"/>
        </w:rPr>
        <w:t>-atualização de sistema incluso (backup de segurança integral do ambiente hospedado em caso de atualização de versão do sistema)</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Backup diário integral dos servidores com retenção de 30 dias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Clone dos servidores sob demanda para homologação de atualizações do ERP (ambiente de homologação) 30 dias por ano.</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Replicação e snapshot automático das últimas 24 horas dos servidores para um segundo datacenter visando a recuperação de desastres no datacenter primário (</w:t>
      </w:r>
      <w:proofErr w:type="spellStart"/>
      <w:r w:rsidRPr="0052552D">
        <w:rPr>
          <w:rFonts w:ascii="Arial" w:hAnsi="Arial" w:cs="Arial"/>
          <w:szCs w:val="20"/>
        </w:rPr>
        <w:t>Disaster</w:t>
      </w:r>
      <w:proofErr w:type="spellEnd"/>
      <w:r w:rsidRPr="0052552D">
        <w:rPr>
          <w:rFonts w:ascii="Arial" w:hAnsi="Arial" w:cs="Arial"/>
          <w:szCs w:val="20"/>
        </w:rPr>
        <w:t xml:space="preserve"> </w:t>
      </w:r>
      <w:proofErr w:type="spellStart"/>
      <w:r w:rsidRPr="0052552D">
        <w:rPr>
          <w:rFonts w:ascii="Arial" w:hAnsi="Arial" w:cs="Arial"/>
          <w:szCs w:val="20"/>
        </w:rPr>
        <w:t>Recover</w:t>
      </w:r>
      <w:proofErr w:type="spellEnd"/>
      <w:r w:rsidRPr="0052552D">
        <w:rPr>
          <w:rFonts w:ascii="Arial" w:hAnsi="Arial" w:cs="Arial"/>
          <w:szCs w:val="20"/>
        </w:rPr>
        <w:t xml:space="preserve"> </w:t>
      </w:r>
      <w:proofErr w:type="spellStart"/>
      <w:r w:rsidRPr="0052552D">
        <w:rPr>
          <w:rFonts w:ascii="Arial" w:hAnsi="Arial" w:cs="Arial"/>
          <w:szCs w:val="20"/>
        </w:rPr>
        <w:t>Plan</w:t>
      </w:r>
      <w:proofErr w:type="spellEnd"/>
      <w:r w:rsidRPr="0052552D">
        <w:rPr>
          <w:rFonts w:ascii="Arial" w:hAnsi="Arial" w:cs="Arial"/>
          <w:szCs w:val="20"/>
        </w:rPr>
        <w:t>) e alcançando um RPO de até 15 minutos.</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Atendimento na resolução de problemas de ambiente e conexão de acesso</w:t>
      </w:r>
    </w:p>
    <w:p w:rsidR="005F4F92" w:rsidRPr="0052552D" w:rsidRDefault="005F4F92" w:rsidP="0052552D">
      <w:pPr>
        <w:jc w:val="both"/>
        <w:rPr>
          <w:rFonts w:ascii="Arial" w:hAnsi="Arial" w:cs="Arial"/>
          <w:b/>
          <w:szCs w:val="20"/>
        </w:rPr>
      </w:pPr>
      <w:r w:rsidRPr="0052552D">
        <w:rPr>
          <w:rFonts w:ascii="Arial" w:hAnsi="Arial" w:cs="Arial"/>
          <w:szCs w:val="20"/>
        </w:rPr>
        <w:t>• Atendimento aos alertas gerados pelo sistema de monitoramento 24x7</w:t>
      </w:r>
    </w:p>
    <w:p w:rsidR="005F4F92" w:rsidRPr="0052552D" w:rsidRDefault="005F4F92" w:rsidP="0052552D">
      <w:pPr>
        <w:autoSpaceDE w:val="0"/>
        <w:autoSpaceDN w:val="0"/>
        <w:adjustRightInd w:val="0"/>
        <w:spacing w:after="120"/>
        <w:jc w:val="both"/>
        <w:rPr>
          <w:rFonts w:ascii="Arial" w:hAnsi="Arial" w:cs="Arial"/>
          <w:b/>
          <w:bCs/>
          <w:szCs w:val="20"/>
        </w:rPr>
      </w:pPr>
    </w:p>
    <w:p w:rsidR="005F4F92" w:rsidRPr="0052552D" w:rsidRDefault="005F4F92" w:rsidP="0052552D">
      <w:pPr>
        <w:autoSpaceDE w:val="0"/>
        <w:autoSpaceDN w:val="0"/>
        <w:adjustRightInd w:val="0"/>
        <w:spacing w:after="120"/>
        <w:jc w:val="both"/>
        <w:rPr>
          <w:rFonts w:ascii="Arial" w:hAnsi="Arial" w:cs="Arial"/>
          <w:b/>
          <w:bCs/>
          <w:szCs w:val="20"/>
        </w:rPr>
      </w:pPr>
      <w:r w:rsidRPr="0052552D">
        <w:rPr>
          <w:rFonts w:ascii="Arial" w:hAnsi="Arial" w:cs="Arial"/>
          <w:b/>
          <w:bCs/>
          <w:szCs w:val="20"/>
        </w:rPr>
        <w:t>CLÁUSULA SEXTA - DO VALOR</w:t>
      </w:r>
    </w:p>
    <w:p w:rsidR="005F4F92" w:rsidRPr="0052552D" w:rsidRDefault="005F4F92" w:rsidP="0052552D">
      <w:pPr>
        <w:pStyle w:val="SemEspaamento"/>
        <w:jc w:val="both"/>
        <w:rPr>
          <w:rFonts w:ascii="Arial" w:hAnsi="Arial" w:cs="Arial"/>
          <w:w w:val="99"/>
        </w:rPr>
      </w:pPr>
      <w:r w:rsidRPr="0052552D">
        <w:rPr>
          <w:rFonts w:ascii="Arial" w:hAnsi="Arial" w:cs="Arial"/>
          <w:w w:val="99"/>
        </w:rPr>
        <w:t xml:space="preserve">O valor no que se refere o aditivo de </w:t>
      </w:r>
      <w:r w:rsidR="0052552D" w:rsidRPr="0052552D">
        <w:rPr>
          <w:rFonts w:ascii="Arial" w:hAnsi="Arial" w:cs="Arial"/>
          <w:w w:val="99"/>
        </w:rPr>
        <w:t xml:space="preserve">implantação e locação </w:t>
      </w:r>
      <w:r w:rsidRPr="0052552D">
        <w:rPr>
          <w:rFonts w:ascii="Arial" w:hAnsi="Arial" w:cs="Arial"/>
          <w:w w:val="99"/>
        </w:rPr>
        <w:t xml:space="preserve"> fica pactuado</w:t>
      </w:r>
      <w:r w:rsidR="0052552D" w:rsidRPr="0052552D">
        <w:rPr>
          <w:rFonts w:ascii="Arial" w:hAnsi="Arial" w:cs="Arial"/>
          <w:w w:val="99"/>
        </w:rPr>
        <w:t xml:space="preserve"> o valor</w:t>
      </w:r>
      <w:r w:rsidRPr="0052552D">
        <w:rPr>
          <w:rFonts w:ascii="Arial" w:hAnsi="Arial" w:cs="Arial"/>
          <w:w w:val="99"/>
        </w:rPr>
        <w:t xml:space="preserve"> conforme abaixo</w:t>
      </w:r>
      <w:r w:rsidR="0052552D" w:rsidRPr="0052552D">
        <w:rPr>
          <w:rFonts w:ascii="Arial" w:hAnsi="Arial" w:cs="Arial"/>
          <w:w w:val="99"/>
        </w:rPr>
        <w:t>:</w:t>
      </w:r>
    </w:p>
    <w:p w:rsidR="005F4F92" w:rsidRPr="0052552D" w:rsidRDefault="005F4F92" w:rsidP="0052552D">
      <w:pPr>
        <w:pStyle w:val="SemEspaamento"/>
        <w:jc w:val="both"/>
        <w:rPr>
          <w:rFonts w:ascii="Arial" w:hAnsi="Arial" w:cs="Arial"/>
          <w:bCs/>
        </w:rPr>
      </w:pPr>
      <w:r w:rsidRPr="0052552D">
        <w:rPr>
          <w:rFonts w:ascii="Arial" w:hAnsi="Arial" w:cs="Arial"/>
          <w:w w:val="99"/>
        </w:rPr>
        <w:t xml:space="preserve">O valor para contratação da GOVBR NUVEM e de </w:t>
      </w:r>
      <w:r w:rsidRPr="0052552D">
        <w:rPr>
          <w:rFonts w:ascii="Arial" w:hAnsi="Arial" w:cs="Arial"/>
        </w:rPr>
        <w:t xml:space="preserve">R$ 6.436,84 (Seis mil quatrocentos e trinta e seis reais e oitenta e quatro centavos) </w:t>
      </w:r>
      <w:r w:rsidRPr="0052552D">
        <w:rPr>
          <w:rFonts w:ascii="Arial" w:hAnsi="Arial" w:cs="Arial"/>
          <w:w w:val="99"/>
        </w:rPr>
        <w:t>dos s</w:t>
      </w:r>
      <w:r w:rsidRPr="0052552D">
        <w:rPr>
          <w:rFonts w:ascii="Arial" w:hAnsi="Arial" w:cs="Arial"/>
          <w:bCs/>
        </w:rPr>
        <w:t xml:space="preserve">erviços especializados de mão de obra para Ambientação, Implantação, Customização e Treinamentos será pago em até 30 dias após a assinatura do presente contrato. E o valor de </w:t>
      </w:r>
      <w:r w:rsidRPr="0052552D">
        <w:rPr>
          <w:rFonts w:ascii="Arial" w:hAnsi="Arial" w:cs="Arial"/>
        </w:rPr>
        <w:t xml:space="preserve">R$ 2.870,00 (Dois mil oitocentos e setenta reais), referente a </w:t>
      </w:r>
      <w:r w:rsidRPr="0052552D">
        <w:rPr>
          <w:rFonts w:ascii="Arial" w:hAnsi="Arial" w:cs="Arial"/>
          <w:bCs/>
        </w:rPr>
        <w:t>locação Mensal da Solução de Armazenamento em Nuvem com processos de atualizações Softwares básicos e</w:t>
      </w:r>
      <w:r w:rsidR="0052552D" w:rsidRPr="0052552D">
        <w:rPr>
          <w:rFonts w:ascii="Arial" w:hAnsi="Arial" w:cs="Arial"/>
          <w:bCs/>
        </w:rPr>
        <w:t xml:space="preserve"> coorporativos será pago até o 10° (décimo</w:t>
      </w:r>
      <w:r w:rsidRPr="0052552D">
        <w:rPr>
          <w:rFonts w:ascii="Arial" w:hAnsi="Arial" w:cs="Arial"/>
          <w:bCs/>
        </w:rPr>
        <w:t>) dia útil do mês subsequente.</w:t>
      </w:r>
    </w:p>
    <w:p w:rsidR="005F4F92" w:rsidRDefault="005F4F92" w:rsidP="0052552D">
      <w:pPr>
        <w:autoSpaceDE w:val="0"/>
        <w:autoSpaceDN w:val="0"/>
        <w:adjustRightInd w:val="0"/>
        <w:spacing w:after="120"/>
        <w:jc w:val="both"/>
        <w:rPr>
          <w:rFonts w:ascii="Arial" w:hAnsi="Arial" w:cs="Arial"/>
          <w:b/>
          <w:bCs/>
          <w:szCs w:val="20"/>
        </w:rPr>
      </w:pPr>
    </w:p>
    <w:p w:rsidR="0052552D" w:rsidRDefault="0052552D" w:rsidP="0052552D">
      <w:pPr>
        <w:autoSpaceDE w:val="0"/>
        <w:autoSpaceDN w:val="0"/>
        <w:adjustRightInd w:val="0"/>
        <w:spacing w:after="120"/>
        <w:jc w:val="both"/>
        <w:rPr>
          <w:rFonts w:ascii="Arial" w:hAnsi="Arial" w:cs="Arial"/>
          <w:b/>
          <w:bCs/>
          <w:szCs w:val="20"/>
        </w:rPr>
      </w:pPr>
    </w:p>
    <w:p w:rsidR="0052552D" w:rsidRPr="0052552D" w:rsidRDefault="0052552D" w:rsidP="0052552D">
      <w:pPr>
        <w:autoSpaceDE w:val="0"/>
        <w:autoSpaceDN w:val="0"/>
        <w:adjustRightInd w:val="0"/>
        <w:spacing w:after="120"/>
        <w:jc w:val="both"/>
        <w:rPr>
          <w:rFonts w:ascii="Arial" w:hAnsi="Arial" w:cs="Arial"/>
          <w:b/>
          <w:bCs/>
          <w:szCs w:val="20"/>
        </w:rPr>
      </w:pPr>
    </w:p>
    <w:p w:rsidR="005F4F92" w:rsidRPr="0052552D" w:rsidRDefault="005F4F92" w:rsidP="0052552D">
      <w:pPr>
        <w:autoSpaceDE w:val="0"/>
        <w:autoSpaceDN w:val="0"/>
        <w:adjustRightInd w:val="0"/>
        <w:spacing w:after="120"/>
        <w:jc w:val="both"/>
        <w:rPr>
          <w:rFonts w:ascii="Arial" w:hAnsi="Arial" w:cs="Arial"/>
          <w:b/>
          <w:bCs/>
          <w:szCs w:val="20"/>
        </w:rPr>
      </w:pPr>
      <w:r w:rsidRPr="0052552D">
        <w:rPr>
          <w:rFonts w:ascii="Arial" w:hAnsi="Arial" w:cs="Arial"/>
          <w:b/>
          <w:bCs/>
          <w:szCs w:val="20"/>
        </w:rPr>
        <w:t>CLÁUSULA SETIMA - DAS DEMAIS CONDIÇÕES</w:t>
      </w:r>
    </w:p>
    <w:p w:rsidR="005F4F92" w:rsidRPr="0052552D" w:rsidRDefault="005F4F92" w:rsidP="0052552D">
      <w:pPr>
        <w:widowControl w:val="0"/>
        <w:jc w:val="both"/>
        <w:rPr>
          <w:rFonts w:ascii="Arial" w:hAnsi="Arial" w:cs="Arial"/>
          <w:bCs/>
          <w:szCs w:val="20"/>
        </w:rPr>
      </w:pPr>
      <w:r w:rsidRPr="0052552D">
        <w:rPr>
          <w:rFonts w:ascii="Arial" w:hAnsi="Arial" w:cs="Arial"/>
          <w:bCs/>
          <w:szCs w:val="20"/>
        </w:rPr>
        <w:t xml:space="preserve">Ficam ratificadas todas as demais cláusulas e condições constantes no </w:t>
      </w:r>
      <w:r w:rsidRPr="0052552D">
        <w:rPr>
          <w:rFonts w:ascii="Arial" w:hAnsi="Arial" w:cs="Arial"/>
          <w:szCs w:val="20"/>
        </w:rPr>
        <w:t xml:space="preserve">Contrato Administrativo nº 139/2019, </w:t>
      </w:r>
      <w:r w:rsidRPr="0052552D">
        <w:rPr>
          <w:rFonts w:ascii="Arial" w:hAnsi="Arial" w:cs="Arial"/>
          <w:bCs/>
          <w:szCs w:val="20"/>
        </w:rPr>
        <w:t>não alcançadas pelo presente Termo Aditivo.</w:t>
      </w:r>
    </w:p>
    <w:p w:rsidR="005F4F92" w:rsidRPr="0052552D" w:rsidRDefault="005F4F92" w:rsidP="0052552D">
      <w:pPr>
        <w:autoSpaceDE w:val="0"/>
        <w:autoSpaceDN w:val="0"/>
        <w:adjustRightInd w:val="0"/>
        <w:jc w:val="both"/>
        <w:rPr>
          <w:rFonts w:ascii="Arial" w:hAnsi="Arial" w:cs="Arial"/>
          <w:szCs w:val="20"/>
        </w:rPr>
      </w:pPr>
      <w:r w:rsidRPr="0052552D">
        <w:rPr>
          <w:rFonts w:ascii="Arial" w:hAnsi="Arial" w:cs="Arial"/>
          <w:szCs w:val="20"/>
        </w:rPr>
        <w:t xml:space="preserve">E, por estarem assim justos e acordes, firmam o presente juntamente com duas testemunhas, em três vias de igual teor e forma, sem emendas ou rasuras, para que produza os seus jurídicos e legais efeitos. </w:t>
      </w:r>
    </w:p>
    <w:p w:rsidR="005F4F92" w:rsidRPr="0052552D" w:rsidRDefault="005F4F92" w:rsidP="0052552D">
      <w:pPr>
        <w:jc w:val="both"/>
        <w:rPr>
          <w:rFonts w:ascii="Arial" w:hAnsi="Arial" w:cs="Arial"/>
          <w:szCs w:val="20"/>
        </w:rPr>
      </w:pPr>
    </w:p>
    <w:p w:rsidR="005F4F92" w:rsidRDefault="0052552D" w:rsidP="0052552D">
      <w:pPr>
        <w:jc w:val="both"/>
        <w:rPr>
          <w:rFonts w:ascii="Arial" w:hAnsi="Arial" w:cs="Arial"/>
          <w:szCs w:val="20"/>
        </w:rPr>
      </w:pPr>
      <w:r w:rsidRPr="0052552D">
        <w:rPr>
          <w:rFonts w:ascii="Arial" w:hAnsi="Arial" w:cs="Arial"/>
          <w:szCs w:val="20"/>
        </w:rPr>
        <w:t>Águas Frias-SC, 29</w:t>
      </w:r>
      <w:r w:rsidR="005F4F92" w:rsidRPr="0052552D">
        <w:rPr>
          <w:rFonts w:ascii="Arial" w:hAnsi="Arial" w:cs="Arial"/>
          <w:szCs w:val="20"/>
        </w:rPr>
        <w:t xml:space="preserve"> de abril de 2022.</w:t>
      </w:r>
    </w:p>
    <w:p w:rsidR="0052552D" w:rsidRDefault="0052552D" w:rsidP="0052552D">
      <w:pPr>
        <w:jc w:val="both"/>
        <w:rPr>
          <w:rFonts w:ascii="Arial" w:hAnsi="Arial" w:cs="Arial"/>
          <w:szCs w:val="20"/>
        </w:rPr>
      </w:pPr>
    </w:p>
    <w:p w:rsidR="0052552D" w:rsidRPr="0052552D" w:rsidRDefault="0052552D" w:rsidP="0052552D">
      <w:pPr>
        <w:jc w:val="both"/>
        <w:rPr>
          <w:rFonts w:ascii="Arial" w:hAnsi="Arial" w:cs="Arial"/>
          <w:szCs w:val="20"/>
        </w:rPr>
      </w:pPr>
    </w:p>
    <w:p w:rsidR="005F4F92" w:rsidRPr="00E44962" w:rsidRDefault="005F4F92" w:rsidP="0052552D">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___________________________________</w:t>
      </w: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E44962">
        <w:rPr>
          <w:rFonts w:ascii="Arial" w:eastAsia="Times New Roman" w:hAnsi="Arial" w:cs="Arial"/>
          <w:b/>
          <w:noProof/>
          <w:szCs w:val="20"/>
          <w:lang w:eastAsia="pt-BR"/>
        </w:rPr>
        <w:t>LUIZ JOSÉ  DAGA</w:t>
      </w: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noProof/>
          <w:szCs w:val="20"/>
          <w:lang w:eastAsia="pt-BR"/>
        </w:rPr>
        <w:t>PREFEITO</w:t>
      </w:r>
    </w:p>
    <w:p w:rsidR="005F4F9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____________________________________</w:t>
      </w: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52552D">
        <w:rPr>
          <w:rFonts w:ascii="Arial" w:eastAsia="Times New Roman" w:hAnsi="Arial" w:cs="Arial"/>
          <w:szCs w:val="20"/>
          <w:lang w:eastAsia="pt-BR"/>
        </w:rPr>
        <w:t>RAFAEL MARIO SEBEN</w:t>
      </w:r>
    </w:p>
    <w:p w:rsidR="005F4F9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REPRESENTANTE LEGAL</w:t>
      </w:r>
    </w:p>
    <w:p w:rsidR="0052552D" w:rsidRDefault="0052552D"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4F9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4962">
        <w:rPr>
          <w:rFonts w:ascii="Arial" w:eastAsia="Times New Roman" w:hAnsi="Arial" w:cs="Arial"/>
          <w:szCs w:val="20"/>
          <w:lang w:eastAsia="pt-BR"/>
        </w:rPr>
        <w:t>Testemunhas:</w:t>
      </w:r>
    </w:p>
    <w:p w:rsidR="005F4F92" w:rsidRPr="00E44962"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1)________________________</w:t>
      </w:r>
      <w:r w:rsidR="005F4F92" w:rsidRPr="00E44962">
        <w:rPr>
          <w:rFonts w:ascii="Arial" w:eastAsia="Times New Roman" w:hAnsi="Arial" w:cs="Arial"/>
          <w:szCs w:val="20"/>
          <w:lang w:eastAsia="pt-BR"/>
        </w:rPr>
        <w:tab/>
      </w:r>
      <w:r w:rsidR="005F4F92" w:rsidRPr="00E44962">
        <w:rPr>
          <w:rFonts w:ascii="Arial" w:eastAsia="Times New Roman" w:hAnsi="Arial" w:cs="Arial"/>
          <w:szCs w:val="20"/>
          <w:lang w:eastAsia="pt-BR"/>
        </w:rPr>
        <w:tab/>
      </w:r>
      <w:r w:rsidR="005F4F92" w:rsidRPr="00E44962">
        <w:rPr>
          <w:rFonts w:ascii="Arial" w:eastAsia="Times New Roman" w:hAnsi="Arial" w:cs="Arial"/>
          <w:szCs w:val="20"/>
          <w:lang w:eastAsia="pt-BR"/>
        </w:rPr>
        <w:tab/>
      </w:r>
      <w:r w:rsidR="005F4F92" w:rsidRPr="00E44962">
        <w:rPr>
          <w:rFonts w:ascii="Arial" w:eastAsia="Times New Roman" w:hAnsi="Arial" w:cs="Arial"/>
          <w:szCs w:val="20"/>
          <w:lang w:eastAsia="pt-BR"/>
        </w:rPr>
        <w:tab/>
      </w:r>
      <w:r>
        <w:rPr>
          <w:rFonts w:ascii="Arial" w:eastAsia="Times New Roman" w:hAnsi="Arial" w:cs="Arial"/>
          <w:szCs w:val="20"/>
          <w:lang w:eastAsia="pt-BR"/>
        </w:rPr>
        <w:t xml:space="preserve">                   </w:t>
      </w:r>
      <w:r w:rsidR="005F4F92" w:rsidRPr="00E44962">
        <w:rPr>
          <w:rFonts w:ascii="Arial" w:eastAsia="Times New Roman" w:hAnsi="Arial" w:cs="Arial"/>
          <w:szCs w:val="20"/>
          <w:lang w:eastAsia="pt-BR"/>
        </w:rPr>
        <w:t>2)________________________</w:t>
      </w: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4F92" w:rsidRPr="00E44962" w:rsidRDefault="005F4F92" w:rsidP="0052552D">
      <w:pPr>
        <w:keepNext/>
        <w:overflowPunct w:val="0"/>
        <w:autoSpaceDE w:val="0"/>
        <w:autoSpaceDN w:val="0"/>
        <w:adjustRightInd w:val="0"/>
        <w:spacing w:after="0" w:line="240" w:lineRule="auto"/>
        <w:jc w:val="center"/>
        <w:textAlignment w:val="baseline"/>
        <w:outlineLvl w:val="2"/>
        <w:rPr>
          <w:rFonts w:ascii="Arial" w:eastAsia="Times New Roman" w:hAnsi="Arial" w:cs="Arial"/>
          <w:szCs w:val="20"/>
          <w:lang w:eastAsia="pt-BR"/>
        </w:rPr>
      </w:pPr>
      <w:r w:rsidRPr="00E44962">
        <w:rPr>
          <w:rFonts w:ascii="Arial" w:eastAsia="Times New Roman" w:hAnsi="Arial" w:cs="Arial"/>
          <w:szCs w:val="20"/>
          <w:lang w:eastAsia="pt-BR"/>
        </w:rPr>
        <w:t>JHONAS PEZZINI</w:t>
      </w: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OAB/SC 33678</w:t>
      </w: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r w:rsidRPr="0052552D">
        <w:rPr>
          <w:rFonts w:ascii="Arial" w:eastAsia="Times New Roman" w:hAnsi="Arial" w:cs="Arial"/>
          <w:b/>
          <w:szCs w:val="20"/>
          <w:u w:val="single"/>
          <w:lang w:eastAsia="pt-BR"/>
        </w:rPr>
        <w:t>CONTRATO DE ADITIVO Nº46/2011</w:t>
      </w:r>
    </w:p>
    <w:p w:rsidR="0052552D" w:rsidRPr="00E44962"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p>
    <w:p w:rsidR="0052552D" w:rsidRPr="00E44962"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p>
    <w:p w:rsidR="0052552D" w:rsidRPr="00E44962"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b/>
          <w:szCs w:val="20"/>
          <w:u w:val="single"/>
          <w:lang w:eastAsia="pt-BR"/>
        </w:rPr>
      </w:pPr>
      <w:r w:rsidRPr="0052552D">
        <w:rPr>
          <w:rFonts w:ascii="Arial" w:eastAsia="Times New Roman" w:hAnsi="Arial" w:cs="Arial"/>
          <w:b/>
          <w:szCs w:val="20"/>
          <w:u w:val="single"/>
          <w:lang w:eastAsia="pt-BR"/>
        </w:rPr>
        <w:t xml:space="preserve">SEXTO </w:t>
      </w:r>
      <w:r w:rsidRPr="00E44962">
        <w:rPr>
          <w:rFonts w:ascii="Arial" w:eastAsia="Times New Roman" w:hAnsi="Arial" w:cs="Arial"/>
          <w:b/>
          <w:szCs w:val="20"/>
          <w:u w:val="single"/>
          <w:lang w:eastAsia="pt-BR"/>
        </w:rPr>
        <w:t>TERMO ADITIVO DE CONTRATO</w:t>
      </w:r>
    </w:p>
    <w:p w:rsidR="005F4F9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ind w:right="-603"/>
        <w:jc w:val="center"/>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ind w:right="-603"/>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 xml:space="preserve">CONTRATO Nº </w:t>
      </w:r>
      <w:r w:rsidRPr="0052552D">
        <w:rPr>
          <w:rFonts w:ascii="Arial" w:eastAsia="Times New Roman" w:hAnsi="Arial" w:cs="Arial"/>
          <w:szCs w:val="20"/>
          <w:lang w:eastAsia="pt-BR"/>
        </w:rPr>
        <w:t>139</w:t>
      </w:r>
      <w:r w:rsidRPr="00E44962">
        <w:rPr>
          <w:rFonts w:ascii="Arial" w:eastAsia="Times New Roman" w:hAnsi="Arial" w:cs="Arial"/>
          <w:szCs w:val="20"/>
          <w:lang w:eastAsia="pt-BR"/>
        </w:rPr>
        <w:t>/</w:t>
      </w:r>
      <w:r w:rsidRPr="0052552D">
        <w:rPr>
          <w:rFonts w:ascii="Arial" w:eastAsia="Times New Roman" w:hAnsi="Arial" w:cs="Arial"/>
          <w:szCs w:val="20"/>
          <w:lang w:eastAsia="pt-BR"/>
        </w:rPr>
        <w:t>2.019</w:t>
      </w:r>
      <w:r w:rsidRPr="00E44962">
        <w:rPr>
          <w:rFonts w:ascii="Arial" w:eastAsia="Times New Roman" w:hAnsi="Arial" w:cs="Arial"/>
          <w:szCs w:val="20"/>
          <w:lang w:eastAsia="pt-BR"/>
        </w:rPr>
        <w:t xml:space="preserve"> DATA: </w:t>
      </w:r>
      <w:r w:rsidRPr="0052552D">
        <w:rPr>
          <w:rFonts w:ascii="Arial" w:eastAsia="Times New Roman" w:hAnsi="Arial" w:cs="Arial"/>
          <w:szCs w:val="20"/>
          <w:lang w:eastAsia="pt-BR"/>
        </w:rPr>
        <w:t>13/12/2019</w:t>
      </w: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44962">
        <w:rPr>
          <w:rFonts w:ascii="Arial" w:eastAsia="Times New Roman" w:hAnsi="Arial" w:cs="Arial"/>
          <w:b/>
          <w:szCs w:val="20"/>
          <w:lang w:eastAsia="pt-BR"/>
        </w:rPr>
        <w:t>PARECER JURÍDICO:</w:t>
      </w: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44962">
        <w:rPr>
          <w:rFonts w:ascii="Arial" w:eastAsia="Times New Roman" w:hAnsi="Arial" w:cs="Arial"/>
          <w:szCs w:val="20"/>
          <w:lang w:eastAsia="pt-BR"/>
        </w:rPr>
        <w:t>O presente Aditivo cumpre os requisitos exigidos pela Lei federal 8.666/93, com as modificações introduzidas pela Lei Federal nº 8.883/94, e pelo o que estabelece o artigo 38 parágrafo único da já citada Lei.</w:t>
      </w: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ind w:firstLine="708"/>
        <w:jc w:val="both"/>
        <w:textAlignment w:val="baseline"/>
        <w:rPr>
          <w:rFonts w:ascii="Arial" w:eastAsia="Times New Roman" w:hAnsi="Arial" w:cs="Arial"/>
          <w:szCs w:val="20"/>
          <w:lang w:eastAsia="pt-BR"/>
        </w:rPr>
      </w:pPr>
      <w:r w:rsidRPr="00E44962">
        <w:rPr>
          <w:rFonts w:ascii="Arial" w:eastAsia="Times New Roman" w:hAnsi="Arial" w:cs="Arial"/>
          <w:szCs w:val="20"/>
          <w:lang w:eastAsia="pt-BR"/>
        </w:rPr>
        <w:t xml:space="preserve">Águas Frias - SC, em </w:t>
      </w:r>
      <w:r w:rsidRPr="0052552D">
        <w:rPr>
          <w:rFonts w:ascii="Arial" w:eastAsia="Times New Roman" w:hAnsi="Arial" w:cs="Arial"/>
          <w:szCs w:val="20"/>
          <w:lang w:eastAsia="pt-BR"/>
        </w:rPr>
        <w:t>29/04/2022</w:t>
      </w: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2552D" w:rsidRPr="00E44962" w:rsidRDefault="0052552D"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JHONAS PEZZINI</w:t>
      </w:r>
    </w:p>
    <w:p w:rsidR="005F4F92" w:rsidRPr="00E44962" w:rsidRDefault="005F4F92" w:rsidP="0052552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44962">
        <w:rPr>
          <w:rFonts w:ascii="Arial" w:eastAsia="Times New Roman" w:hAnsi="Arial" w:cs="Arial"/>
          <w:szCs w:val="20"/>
          <w:lang w:eastAsia="pt-BR"/>
        </w:rPr>
        <w:t>Assessor Jurídico - OAB/SC 33678</w:t>
      </w: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ind w:right="-603"/>
        <w:jc w:val="both"/>
        <w:textAlignment w:val="baseline"/>
        <w:rPr>
          <w:rFonts w:ascii="Arial" w:eastAsia="Times New Roman" w:hAnsi="Arial" w:cs="Arial"/>
          <w:szCs w:val="20"/>
          <w:lang w:eastAsia="pt-BR"/>
        </w:rPr>
      </w:pPr>
    </w:p>
    <w:p w:rsidR="005F4F92" w:rsidRPr="00E44962" w:rsidRDefault="005F4F92" w:rsidP="0052552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F4F92" w:rsidRPr="0052552D" w:rsidRDefault="005F4F92" w:rsidP="0052552D">
      <w:pPr>
        <w:jc w:val="both"/>
        <w:rPr>
          <w:rFonts w:ascii="Arial" w:hAnsi="Arial" w:cs="Arial"/>
          <w:szCs w:val="20"/>
        </w:rPr>
      </w:pPr>
    </w:p>
    <w:p w:rsidR="004C205B" w:rsidRPr="0052552D" w:rsidRDefault="004C205B" w:rsidP="0052552D">
      <w:pPr>
        <w:jc w:val="both"/>
        <w:rPr>
          <w:rFonts w:ascii="Arial" w:hAnsi="Arial" w:cs="Arial"/>
          <w:szCs w:val="20"/>
        </w:rPr>
      </w:pPr>
    </w:p>
    <w:sectPr w:rsidR="004C205B" w:rsidRPr="0052552D" w:rsidSect="0052552D">
      <w:headerReference w:type="default" r:id="rId6"/>
      <w:pgSz w:w="12242" w:h="15842"/>
      <w:pgMar w:top="720" w:right="1418" w:bottom="1702"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14" w:rsidRDefault="00F43314" w:rsidP="0052552D">
      <w:pPr>
        <w:spacing w:after="0" w:line="240" w:lineRule="auto"/>
      </w:pPr>
      <w:r>
        <w:separator/>
      </w:r>
    </w:p>
  </w:endnote>
  <w:endnote w:type="continuationSeparator" w:id="0">
    <w:p w:rsidR="00F43314" w:rsidRDefault="00F43314" w:rsidP="0052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14" w:rsidRDefault="00F43314" w:rsidP="0052552D">
      <w:pPr>
        <w:spacing w:after="0" w:line="240" w:lineRule="auto"/>
      </w:pPr>
      <w:r>
        <w:separator/>
      </w:r>
    </w:p>
  </w:footnote>
  <w:footnote w:type="continuationSeparator" w:id="0">
    <w:p w:rsidR="00F43314" w:rsidRDefault="00F43314" w:rsidP="0052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89"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343"/>
      <w:gridCol w:w="5246"/>
    </w:tblGrid>
    <w:tr w:rsidR="00BA26BB" w:rsidTr="00BA26BB">
      <w:trPr>
        <w:trHeight w:val="738"/>
        <w:jc w:val="center"/>
      </w:trPr>
      <w:tc>
        <w:tcPr>
          <w:tcW w:w="2343" w:type="dxa"/>
          <w:vMerge w:val="restart"/>
          <w:tcBorders>
            <w:top w:val="double" w:sz="4" w:space="0" w:color="auto"/>
            <w:left w:val="double" w:sz="4" w:space="0" w:color="auto"/>
            <w:bottom w:val="double" w:sz="4" w:space="0" w:color="auto"/>
            <w:right w:val="single" w:sz="4" w:space="0" w:color="auto"/>
          </w:tcBorders>
        </w:tcPr>
        <w:p w:rsidR="00BA26BB" w:rsidRDefault="00F43314" w:rsidP="00BA26BB">
          <w:pPr>
            <w:ind w:right="-490"/>
            <w:rPr>
              <w:rFonts w:ascii="Tahoma" w:hAnsi="Tahoma" w:cs="Tahoma"/>
              <w:b/>
              <w:bCs/>
              <w:color w:val="000000"/>
              <w:szCs w:val="16"/>
            </w:rPr>
          </w:pPr>
          <w:r w:rsidRPr="000610E0">
            <w:rPr>
              <w:b/>
              <w:noProof/>
              <w:color w:val="000000"/>
              <w:sz w:val="24"/>
              <w:szCs w:val="24"/>
              <w:lang w:eastAsia="pt-BR"/>
            </w:rPr>
            <w:drawing>
              <wp:inline distT="0" distB="0" distL="0" distR="0" wp14:anchorId="6011609C" wp14:editId="15B421C8">
                <wp:extent cx="1219200" cy="1190625"/>
                <wp:effectExtent l="0" t="0" r="0" b="9525"/>
                <wp:docPr id="4" name="Imagem 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p>
      </w:tc>
      <w:tc>
        <w:tcPr>
          <w:tcW w:w="5246" w:type="dxa"/>
          <w:tcBorders>
            <w:top w:val="double" w:sz="4" w:space="0" w:color="auto"/>
            <w:left w:val="single" w:sz="4" w:space="0" w:color="auto"/>
            <w:bottom w:val="nil"/>
            <w:right w:val="double" w:sz="4" w:space="0" w:color="auto"/>
          </w:tcBorders>
        </w:tcPr>
        <w:p w:rsidR="00BA26BB" w:rsidRDefault="00F43314" w:rsidP="0052552D">
          <w:pPr>
            <w:pStyle w:val="SemEspaamento"/>
          </w:pPr>
          <w:r>
            <w:t>Estado de Santa Catarina</w:t>
          </w:r>
          <w:r>
            <w:rPr>
              <w:color w:val="FFFFFF"/>
            </w:rPr>
            <w:t xml:space="preserve">     .</w:t>
          </w:r>
        </w:p>
        <w:p w:rsidR="00BA26BB" w:rsidRDefault="00F43314" w:rsidP="0052552D">
          <w:pPr>
            <w:pStyle w:val="SemEspaamento"/>
            <w:rPr>
              <w:b/>
            </w:rPr>
          </w:pPr>
          <w:r>
            <w:rPr>
              <w:b/>
            </w:rPr>
            <w:t xml:space="preserve">MUNICÍPIO DE ÁGUAS FRIAS </w:t>
          </w:r>
          <w:r>
            <w:rPr>
              <w:color w:val="FFFFFF"/>
            </w:rPr>
            <w:t xml:space="preserve">     .</w:t>
          </w:r>
        </w:p>
        <w:p w:rsidR="00BA26BB" w:rsidRDefault="00F43314" w:rsidP="0052552D">
          <w:pPr>
            <w:pStyle w:val="SemEspaamento"/>
          </w:pPr>
          <w:r>
            <w:t xml:space="preserve">Departamento de Licitação </w:t>
          </w:r>
          <w:r>
            <w:rPr>
              <w:color w:val="FFFFFF"/>
            </w:rPr>
            <w:t xml:space="preserve">     .</w:t>
          </w:r>
        </w:p>
      </w:tc>
    </w:tr>
    <w:tr w:rsidR="00BA26BB" w:rsidTr="00BA26BB">
      <w:trPr>
        <w:trHeight w:val="114"/>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F43314" w:rsidP="00BA26BB">
          <w:pPr>
            <w:rPr>
              <w:rFonts w:ascii="Tahoma" w:hAnsi="Tahoma" w:cs="Tahoma"/>
              <w:b/>
              <w:bCs/>
              <w:color w:val="000000"/>
              <w:szCs w:val="16"/>
            </w:rPr>
          </w:pPr>
        </w:p>
      </w:tc>
      <w:tc>
        <w:tcPr>
          <w:tcW w:w="5246" w:type="dxa"/>
          <w:tcBorders>
            <w:top w:val="nil"/>
            <w:left w:val="single" w:sz="4" w:space="0" w:color="auto"/>
            <w:bottom w:val="nil"/>
            <w:right w:val="double" w:sz="4" w:space="0" w:color="auto"/>
          </w:tcBorders>
        </w:tcPr>
        <w:p w:rsidR="00BA26BB" w:rsidRDefault="00F43314" w:rsidP="0052552D">
          <w:pPr>
            <w:pStyle w:val="SemEspaamento"/>
            <w:rPr>
              <w:b/>
              <w:sz w:val="16"/>
              <w:szCs w:val="16"/>
            </w:rPr>
          </w:pPr>
          <w:r>
            <w:rPr>
              <w:b/>
              <w:sz w:val="16"/>
              <w:szCs w:val="16"/>
            </w:rPr>
            <w:t xml:space="preserve">   CNPJ: 95.990.180/0001-02</w:t>
          </w:r>
        </w:p>
      </w:tc>
    </w:tr>
    <w:tr w:rsidR="00BA26BB" w:rsidTr="00BA26BB">
      <w:trPr>
        <w:trHeight w:val="451"/>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F43314" w:rsidP="00BA26BB">
          <w:pPr>
            <w:rPr>
              <w:rFonts w:ascii="Tahoma" w:hAnsi="Tahoma" w:cs="Tahoma"/>
              <w:b/>
              <w:bCs/>
              <w:color w:val="000000"/>
              <w:szCs w:val="16"/>
            </w:rPr>
          </w:pPr>
        </w:p>
      </w:tc>
      <w:tc>
        <w:tcPr>
          <w:tcW w:w="5246" w:type="dxa"/>
          <w:tcBorders>
            <w:top w:val="nil"/>
            <w:left w:val="single" w:sz="4" w:space="0" w:color="auto"/>
            <w:bottom w:val="double" w:sz="4" w:space="0" w:color="auto"/>
            <w:right w:val="double" w:sz="4" w:space="0" w:color="auto"/>
          </w:tcBorders>
        </w:tcPr>
        <w:p w:rsidR="00BA26BB" w:rsidRDefault="00F43314" w:rsidP="0052552D">
          <w:pPr>
            <w:pStyle w:val="SemEspaamento"/>
            <w:rPr>
              <w:sz w:val="16"/>
              <w:szCs w:val="16"/>
            </w:rPr>
          </w:pPr>
          <w:r>
            <w:rPr>
              <w:sz w:val="16"/>
              <w:szCs w:val="16"/>
            </w:rPr>
            <w:t xml:space="preserve">   Rua Sete de Setembro, 512 – Centro</w:t>
          </w:r>
        </w:p>
        <w:p w:rsidR="00BA26BB" w:rsidRDefault="00F43314" w:rsidP="0052552D">
          <w:pPr>
            <w:pStyle w:val="SemEspaamento"/>
            <w:rPr>
              <w:sz w:val="16"/>
              <w:szCs w:val="16"/>
            </w:rPr>
          </w:pPr>
          <w:r>
            <w:rPr>
              <w:sz w:val="16"/>
              <w:szCs w:val="16"/>
            </w:rPr>
            <w:t>Águas Frias – SC, CEP 89.843-000</w:t>
          </w:r>
        </w:p>
        <w:p w:rsidR="00BA26BB" w:rsidRDefault="00F43314" w:rsidP="0052552D">
          <w:pPr>
            <w:pStyle w:val="SemEspaamento"/>
            <w:rPr>
              <w:sz w:val="16"/>
              <w:szCs w:val="16"/>
            </w:rPr>
          </w:pPr>
          <w:r>
            <w:rPr>
              <w:sz w:val="16"/>
              <w:szCs w:val="16"/>
            </w:rPr>
            <w:t xml:space="preserve">    Fone/Fax (49) 3332-0019</w:t>
          </w:r>
        </w:p>
        <w:p w:rsidR="00BA26BB" w:rsidRDefault="00F43314" w:rsidP="0052552D">
          <w:pPr>
            <w:pStyle w:val="SemEspaamento"/>
            <w:rPr>
              <w:b/>
              <w:sz w:val="16"/>
              <w:szCs w:val="16"/>
            </w:rPr>
          </w:pPr>
        </w:p>
      </w:tc>
    </w:tr>
  </w:tbl>
  <w:p w:rsidR="00BA26BB" w:rsidRDefault="00F433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92"/>
    <w:rsid w:val="002758C8"/>
    <w:rsid w:val="00367481"/>
    <w:rsid w:val="004C205B"/>
    <w:rsid w:val="0052552D"/>
    <w:rsid w:val="005F4F92"/>
    <w:rsid w:val="00CA5701"/>
    <w:rsid w:val="00F43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B8B8"/>
  <w15:chartTrackingRefBased/>
  <w15:docId w15:val="{E29960A5-FDB0-4240-A574-D60DB5E8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F4F9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F4F92"/>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5F4F92"/>
    <w:pPr>
      <w:spacing w:after="120" w:line="480" w:lineRule="auto"/>
    </w:pPr>
    <w:rPr>
      <w:rFonts w:eastAsia="Times New Roman"/>
      <w:szCs w:val="20"/>
      <w:lang w:eastAsia="pt-BR"/>
    </w:rPr>
  </w:style>
  <w:style w:type="character" w:customStyle="1" w:styleId="Corpodetexto2Char">
    <w:name w:val="Corpo de texto 2 Char"/>
    <w:basedOn w:val="Fontepargpadro"/>
    <w:link w:val="Corpodetexto2"/>
    <w:semiHidden/>
    <w:rsid w:val="005F4F9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2552D"/>
    <w:pPr>
      <w:tabs>
        <w:tab w:val="center" w:pos="4252"/>
        <w:tab w:val="right" w:pos="8504"/>
      </w:tabs>
      <w:spacing w:after="0" w:line="240" w:lineRule="auto"/>
    </w:pPr>
  </w:style>
  <w:style w:type="character" w:customStyle="1" w:styleId="RodapChar">
    <w:name w:val="Rodapé Char"/>
    <w:basedOn w:val="Fontepargpadro"/>
    <w:link w:val="Rodap"/>
    <w:uiPriority w:val="99"/>
    <w:rsid w:val="0052552D"/>
    <w:rPr>
      <w:rFonts w:ascii="Times New Roman" w:hAnsi="Times New Roman" w:cs="Times New Roman"/>
      <w:sz w:val="20"/>
    </w:rPr>
  </w:style>
  <w:style w:type="paragraph" w:styleId="SemEspaamento">
    <w:name w:val="No Spacing"/>
    <w:uiPriority w:val="1"/>
    <w:qFormat/>
    <w:rsid w:val="0052552D"/>
    <w:pPr>
      <w:spacing w:after="0" w:line="240" w:lineRule="auto"/>
    </w:pPr>
    <w:rPr>
      <w:rFonts w:ascii="Times New Roman" w:hAnsi="Times New Roman" w:cs="Times New Roman"/>
      <w:sz w:val="20"/>
    </w:rPr>
  </w:style>
  <w:style w:type="paragraph" w:styleId="Textodebalo">
    <w:name w:val="Balloon Text"/>
    <w:basedOn w:val="Normal"/>
    <w:link w:val="TextodebaloChar"/>
    <w:uiPriority w:val="99"/>
    <w:semiHidden/>
    <w:unhideWhenUsed/>
    <w:rsid w:val="00CA57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5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6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2022-04-29T14:18:00Z</cp:lastPrinted>
  <dcterms:created xsi:type="dcterms:W3CDTF">2022-04-29T14:25:00Z</dcterms:created>
  <dcterms:modified xsi:type="dcterms:W3CDTF">2022-04-29T14:25:00Z</dcterms:modified>
</cp:coreProperties>
</file>