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66</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Senhor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MAIQUELE APARECIDA FOPPA VICENTE 06733265940, com sede na(o)</w:t>
      </w:r>
      <w:r>
        <w:rPr>
          <w:rFonts w:cs="Arial" w:ascii="Arial" w:hAnsi="Arial"/>
          <w:lang w:val="pt-BR" w:eastAsia="pt-BR"/>
        </w:rPr>
        <w:t xml:space="preserve"> AVENIDA ANITA BOARO , 521, bairro CENTRO</w:t>
      </w:r>
      <w:r>
        <w:rPr>
          <w:rFonts w:cs="Arial" w:ascii="Arial" w:hAnsi="Arial"/>
        </w:rPr>
        <w:t xml:space="preserve">, na cidade de ÁGUAS FRAIS-SC, inscrita no CGC/MF sob o nº. </w:t>
      </w:r>
      <w:r>
        <w:rPr>
          <w:rFonts w:cs="Arial" w:ascii="Arial" w:hAnsi="Arial"/>
          <w:lang w:val="pt-BR" w:eastAsia="pt-BR"/>
        </w:rPr>
        <w:t xml:space="preserve"> 19.457.493/0001-11 </w:t>
      </w:r>
      <w:r>
        <w:rPr>
          <w:rFonts w:cs="Arial" w:ascii="Arial" w:hAnsi="Arial"/>
        </w:rPr>
        <w:t xml:space="preserve">neste ato representada por seu(ua) representante legal Senhor(a)  MAIQUELE APARECIDA FOPPA VICENTE inscrito no CPF nº067.332.659-40, doravante denominada simplesmente de </w:t>
      </w:r>
      <w:r>
        <w:rPr>
          <w:rFonts w:cs="Arial" w:ascii="Arial" w:hAnsi="Arial"/>
          <w:b/>
        </w:rPr>
        <w:t>CONTRATADA</w:t>
      </w:r>
      <w:r>
        <w:rPr>
          <w:rFonts w:cs="Arial" w:ascii="Arial" w:hAnsi="Arial"/>
        </w:rPr>
        <w:t>, em decorrência do Processo de Licitação Nº.  78</w:t>
      </w:r>
      <w:r>
        <w:rPr>
          <w:rFonts w:cs="Arial" w:ascii="Arial" w:hAnsi="Arial"/>
          <w:lang w:val="pt-BR" w:eastAsia="pt-BR"/>
        </w:rPr>
        <w:t>/2022</w:t>
      </w:r>
      <w:r>
        <w:rPr>
          <w:rFonts w:cs="Arial" w:ascii="Arial" w:hAnsi="Arial"/>
        </w:rPr>
        <w:t>, Dispensa por Limite Nº.30</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30/05/22</w:t>
      </w:r>
      <w:r>
        <w:rPr>
          <w:rFonts w:cs="Arial" w:ascii="Arial" w:hAnsi="Arial"/>
        </w:rPr>
        <w:t>, mediante sujeição mútua às normas constantes da Lei Nº 8.666, de 21/06/93 e legislação pertinente, ao Edital  antes citado, à proposta e às seguintes cláusulas contratuais:</w:t>
      </w:r>
    </w:p>
    <w:p>
      <w:pPr>
        <w:pStyle w:val="Normal"/>
        <w:jc w:val="center"/>
        <w:rPr>
          <w:rFonts w:ascii="Arial" w:hAnsi="Arial" w:cs="Arial"/>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1.1 - O objeto do presente contrato é a AQUISIÇÃO DE TROFÉUS E MEDALHAS, PARA PREMIAÇÕES DE CAMPEONATOS REALIZADOS PELO DEPARTAMENTO DE ESPORTE DO MUNICÍPIO DE ÁGUAS FRIAS</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1.2 – A </w:t>
      </w:r>
      <w:r>
        <w:rPr>
          <w:rFonts w:cs="Arial" w:ascii="Arial" w:hAnsi="Arial"/>
          <w:b/>
        </w:rPr>
        <w:t>CONTRATADA</w:t>
      </w:r>
      <w:r>
        <w:rPr>
          <w:rFonts w:cs="Arial" w:ascii="Arial" w:hAnsi="Arial"/>
        </w:rPr>
        <w:t xml:space="preserve"> entregará os materiais nos locais indicados pelas Secretarias solicitantes e fornecerá garantia dos materiais em conformidade com o Edital.</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Dispensa por Limite</w:t>
      </w:r>
      <w:r>
        <w:rPr>
          <w:rFonts w:cs="Arial" w:ascii="Arial" w:hAnsi="Arial"/>
          <w:lang w:val="pt-BR" w:eastAsia="pt-BR"/>
        </w:rPr>
        <w:t xml:space="preserve"> nº30/2022</w:t>
      </w:r>
      <w:r>
        <w:rPr>
          <w:rFonts w:cs="Arial" w:ascii="Arial" w:hAnsi="Arial"/>
        </w:rPr>
        <w:t>, especificações complementares, além das normas e instruções legais vigentes no País, que lhe forem atinentes.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eastAsia="Arial" w:cs="Arial" w:ascii="Arial" w:hAnsi="Arial"/>
        </w:rPr>
        <w:t xml:space="preserve"> </w:t>
      </w:r>
      <w:r>
        <w:rPr>
          <w:rFonts w:eastAsia="Arial" w:cs="Arial" w:ascii="Arial" w:hAnsi="Arial"/>
        </w:rPr>
        <w:tab/>
        <w:tab/>
      </w:r>
      <w:r>
        <w:rPr>
          <w:rFonts w:eastAsia="Arial" w:cs="Arial" w:ascii="Arial" w:hAnsi="Arial"/>
        </w:rPr>
        <w:t>C</w:t>
      </w:r>
      <w:r>
        <w:rPr>
          <w:rFonts w:cs="Arial" w:ascii="Arial" w:hAnsi="Arial"/>
          <w:b/>
        </w:rPr>
        <w:t xml:space="preserve">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R$ 8.280,00(oito mil duzentos e oitenta reais)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Até 30 (trinta) dias, após entrega e aceitação dos equipamentos/materiais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4.4 - </w:t>
      </w:r>
      <w:r>
        <w:rPr>
          <w:rFonts w:cs="Arial" w:ascii="Arial" w:hAnsi="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6.1 - O</w:t>
      </w:r>
      <w:r>
        <w:rPr>
          <w:rFonts w:cs="Arial" w:ascii="Arial" w:hAnsi="Arial"/>
        </w:rPr>
        <w:t xml:space="preserve"> prazo de execução é de 10 DIAS, e terá vigência da assinatura até  30/06/22,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 Ordem de Serviço.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contagem dos prazos, excluir-se-á o dia do início e incluir-se-á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16</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MANUTENÇÃO DO ESPORTE MUNICIPAL</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339031040000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8.250,00</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8.1 - O material somente será considerado devidamente aceito após analisado e aprovado pel</w:t>
      </w:r>
      <w:r>
        <w:rPr>
          <w:rFonts w:cs="Arial" w:ascii="Arial" w:hAnsi="Arial"/>
        </w:rPr>
        <w:t>a secretária municipal De Educação, Esporte, Cultura e Turismo SRa Jocinéia Pandolfo Gonçalves da Silva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8.2 - No  caso de não aceitação do material pe</w:t>
      </w:r>
      <w:r>
        <w:rPr>
          <w:rFonts w:cs="Arial" w:ascii="Arial" w:hAnsi="Arial"/>
        </w:rPr>
        <w:t xml:space="preserve">la </w:t>
      </w:r>
      <w:r>
        <w:rPr>
          <w:rFonts w:cs="Arial" w:ascii="Arial" w:hAnsi="Arial"/>
          <w:b/>
        </w:rPr>
        <w:t>CONTRATANTE</w:t>
      </w:r>
      <w:r>
        <w:rPr>
          <w:rFonts w:cs="Arial" w:ascii="Arial" w:hAnsi="Arial"/>
        </w:rPr>
        <w:t xml:space="preserve">, a </w:t>
      </w:r>
      <w:r>
        <w:rPr>
          <w:rFonts w:cs="Arial" w:ascii="Arial" w:hAnsi="Arial"/>
          <w:b/>
        </w:rPr>
        <w:t>CONTRATADA</w:t>
      </w:r>
      <w:r>
        <w:rPr>
          <w:rFonts w:cs="Arial" w:ascii="Arial" w:hAnsi="Arial"/>
        </w:rPr>
        <w:t xml:space="preserve"> deverá providenciar, sem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30 de maio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MAIQUELE APARECIDA FOPPA VICENTE</w:t>
      </w:r>
    </w:p>
    <w:p>
      <w:pPr>
        <w:pStyle w:val="Normal"/>
        <w:jc w:val="center"/>
        <w:rPr>
          <w:rFonts w:ascii="Arial" w:hAnsi="Arial" w:cs="Arial"/>
        </w:rPr>
      </w:pPr>
      <w:r>
        <w:rPr>
          <w:rFonts w:cs="Arial" w:ascii="Arial" w:hAnsi="Arial"/>
        </w:rPr>
        <w:t>REPRESENTANTE LEGAL</w:t>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w:t>
        <w:tab/>
        <w:tab/>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w:t>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w:t>
        <w:tab/>
        <w:t xml:space="preserve"> CPF: 030.050.800-05</w:t>
      </w:r>
    </w:p>
    <w:p>
      <w:pPr>
        <w:pStyle w:val="Normal"/>
        <w:rPr/>
      </w:pPr>
      <w:r>
        <w:rPr>
          <w:rFonts w:cs="Arial" w:ascii="Arial" w:hAnsi="Arial"/>
        </w:rPr>
        <w:tab/>
        <w:tab/>
        <w:tab/>
        <w:tab/>
        <w:t>JHONAS PEZZINI</w:t>
      </w:r>
    </w:p>
    <w:p>
      <w:pPr>
        <w:pStyle w:val="Normal"/>
        <w:rPr/>
      </w:pPr>
      <w:r>
        <w:rPr>
          <w:rFonts w:cs="Arial" w:ascii="Arial" w:hAnsi="Arial"/>
        </w:rPr>
        <w:tab/>
        <w:tab/>
        <w:tab/>
        <w:tab/>
        <w:t>OAB/SC 33678</w:t>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33845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3845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8</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26.65pt;height:8.45pt;mso-wrap-distance-left:0pt;mso-wrap-distance-right:0pt;mso-wrap-distance-top:0pt;mso-wrap-distance-bottom:0pt;margin-top:0.05pt;mso-position-vertical-relative:text;margin-left:232.3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8</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8</Pages>
  <Words>3126</Words>
  <Characters>17521</Characters>
  <CharactersWithSpaces>20648</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2022-05-30T10:01:50Z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