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Nº49 /2022 </w:t>
      </w:r>
    </w:p>
    <w:p>
      <w:pPr>
        <w:pStyle w:val="Ttulo7"/>
        <w:jc w:val="center"/>
        <w:rPr/>
      </w:pPr>
      <w:r>
        <w:rPr>
          <w:rFonts w:cs="Arial" w:ascii="Arial" w:hAnsi="Arial"/>
          <w:shadow w:val="false"/>
          <w:color w:val="000000"/>
          <w:sz w:val="20"/>
          <w:szCs w:val="20"/>
        </w:rPr>
        <w:t>PREGÃO PARA REGISTRO DE PREÇOS Nº 30/2022</w:t>
      </w:r>
    </w:p>
    <w:p>
      <w:pPr>
        <w:pStyle w:val="Normal"/>
        <w:jc w:val="center"/>
        <w:rPr/>
      </w:pPr>
      <w:r>
        <w:rPr>
          <w:rFonts w:cs="Arial" w:ascii="Arial" w:hAnsi="Arial"/>
          <w:b/>
          <w:bCs/>
        </w:rPr>
        <w:t>PROCESSO Nº 82/2022</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both"/>
        <w:rPr/>
      </w:pPr>
      <w:r>
        <w:rPr>
          <w:rFonts w:cs="Arial" w:ascii="Arial" w:hAnsi="Arial"/>
        </w:rPr>
        <w:t>As 08:30HORAS do dia 20/06/22, na sala de licitações da Prefeitura do  Município  de AGUAS FRIAS, localizada na R</w:t>
      </w:r>
      <w:r>
        <w:rPr>
          <w:rFonts w:cs="Arial" w:ascii="Arial" w:hAnsi="Arial"/>
        </w:rPr>
        <w:t xml:space="preserve">ua Sete de Setembro, 512, centro, AGUAS FRIAS – SC, NESTE ATO REPRESENTADO POR SEU Prefeito Sr. LUIZ JOSÉ DAGA,  no uso de suas atribuições e, de acordo com a Lei Federal nº 8.666/93 e suas </w:t>
      </w:r>
      <w:r>
        <w:rPr>
          <w:rFonts w:cs="Arial" w:ascii="Arial" w:hAnsi="Arial"/>
        </w:rPr>
        <w:t>posteriores alterações, Lei nº 10.520, de 17 de julho de 2002, e Decreto Municipal nº043/2009 e, as demais normas aplicáveis, de acordo com o resultado da classificação  das propostas apresentadas no</w:t>
      </w:r>
      <w:r>
        <w:rPr>
          <w:rFonts w:cs="Arial" w:ascii="Arial" w:hAnsi="Arial"/>
          <w:b/>
          <w:bCs/>
        </w:rPr>
        <w:t xml:space="preserve"> PROCESSO 82/2022, MODALIDADE PREGÃO PARA REGISTRO DE PREÇOS Nº 30/2022</w:t>
      </w:r>
      <w:r>
        <w:rPr>
          <w:rFonts w:cs="Arial" w:ascii="Arial" w:hAnsi="Arial"/>
        </w:rPr>
        <w:t xml:space="preserve"> por deliberação do Pregoeiro(a), homologada pela autoridade competente e publicada no Quadro de Avisos da Prefeitura e no site Oficial do Município de AGUAS FRIAS - SC em 21/06/2022, </w:t>
      </w:r>
      <w:r>
        <w:rPr>
          <w:rFonts w:cs="Arial" w:ascii="Arial" w:hAnsi="Arial"/>
          <w:b/>
          <w:bCs/>
        </w:rPr>
        <w:t>RESOLVE</w:t>
      </w:r>
      <w:r>
        <w:rPr>
          <w:rFonts w:cs="Arial" w:ascii="Arial" w:hAnsi="Arial"/>
        </w:rPr>
        <w:t>: registrar o(s) preço(s) para Contratação de mão-de-obra especializada para serviços de manutenção, consertos, reparos mecânicos e elétricos, geometria e balanceamento nos veículos e máquinas pertencentes a frota municipal, para deixá-los em condições de funcionamento e conservação,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MECANICA AGUAS FRIAS LTDA</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76.579.317/0001-96</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 xml:space="preserve">Avenida Anita Boaro </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ÁGUAS FRIAS</w:t>
            </w:r>
          </w:p>
        </w:tc>
      </w:tr>
    </w:tbl>
    <w:p>
      <w:pPr>
        <w:pStyle w:val="Normal"/>
        <w:jc w:val="both"/>
        <w:rPr>
          <w:rFonts w:ascii="Arial" w:hAnsi="Arial" w:cs="Arial"/>
          <w:color w:val="FF0000"/>
        </w:rPr>
      </w:pPr>
      <w:r>
        <w:rPr>
          <w:rFonts w:cs="Arial" w:ascii="Arial" w:hAnsi="Arial"/>
          <w:color w:val="FF0000"/>
        </w:rPr>
      </w:r>
    </w:p>
    <w:p>
      <w:pPr>
        <w:pStyle w:val="Normal"/>
        <w:jc w:val="both"/>
        <w:rPr/>
      </w:pPr>
      <w:r>
        <w:rPr>
          <w:rFonts w:cs="Arial" w:ascii="Arial" w:hAnsi="Arial"/>
        </w:rPr>
        <w:t>A empresa MECANICA AGUAS FRIAS LTDA, representado neste ato pelo Sr(a).,</w:t>
      </w:r>
      <w:r>
        <w:rPr>
          <w:rFonts w:cs="Arial" w:ascii="Arial" w:hAnsi="Arial"/>
        </w:rPr>
        <w:t>MARISTELA PERUZZO</w:t>
      </w:r>
      <w:r>
        <w:rPr>
          <w:rFonts w:cs="Arial" w:ascii="Arial" w:hAnsi="Arial"/>
        </w:rPr>
        <w:t xml:space="preserve"> , portador (a) do CPF nº </w:t>
      </w:r>
      <w:r>
        <w:rPr>
          <w:rFonts w:eastAsia="Times New Roman" w:cs="Arial" w:ascii="Arial" w:hAnsi="Arial"/>
          <w:color w:val="auto"/>
          <w:sz w:val="20"/>
          <w:szCs w:val="20"/>
          <w:lang w:val="pt-BR" w:bidi="ar-SA"/>
        </w:rPr>
        <w:t>037.409.329-91</w:t>
      </w:r>
      <w:r>
        <w:rPr>
          <w:rFonts w:cs="Arial" w:ascii="Arial" w:hAnsi="Arial"/>
        </w:rPr>
        <w:t>,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Contratação de mão-de-obra especializada para serviços de manutenção, consertos, reparos mecânicos e elétricos, geometria e balanceamento nos veículos e máquinas pertencentes a frota municipal, para deixá-los em condições de funcionamento e conservação,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300,0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Serviços de manutenção do sistema elétrico de automóveis</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90,00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7</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1.500,0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Serviços mecânicos para máquinas rodoviárias pesadas</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110,00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192.000,00</w:t>
            </w:r>
          </w:p>
        </w:tc>
      </w:tr>
    </w:tbl>
    <w:p>
      <w:pPr>
        <w:pStyle w:val="Normal"/>
        <w:jc w:val="both"/>
        <w:rPr>
          <w:rFonts w:ascii="Arial" w:hAnsi="Arial" w:cs="Arial"/>
        </w:rPr>
      </w:pPr>
      <w:r>
        <w:rPr>
          <w:rFonts w:cs="Arial" w:ascii="Arial" w:hAnsi="Arial"/>
        </w:rPr>
      </w:r>
    </w:p>
    <w:p>
      <w:pPr>
        <w:pStyle w:val="Normal"/>
        <w:jc w:val="both"/>
        <w:rPr/>
      </w:pPr>
      <w:r>
        <w:rPr>
          <w:rFonts w:cs="Arial" w:ascii="Arial" w:hAnsi="Arial"/>
        </w:rPr>
        <w:t>1.2. As quantidades constantes do subitem 1.1 são estimativas para o período de  até 12 me</w:t>
      </w:r>
      <w:r>
        <w:rPr>
          <w:rFonts w:cs="Arial" w:ascii="Arial" w:hAnsi="Arial"/>
        </w:rPr>
        <w:t>ses, pod</w:t>
      </w:r>
      <w:r>
        <w:rPr>
          <w:rFonts w:cs="Arial" w:ascii="Arial" w:hAnsi="Arial"/>
        </w:rPr>
        <w:t>endo variar para mais ou para menos, de acordo com a demanda, não se obrigando a PREFEITURA à aquisição total.</w:t>
      </w:r>
    </w:p>
    <w:p>
      <w:pPr>
        <w:pStyle w:val="Normal"/>
        <w:jc w:val="both"/>
        <w:rPr>
          <w:rFonts w:ascii="Arial" w:hAnsi="Arial" w:cs="Arial"/>
        </w:rPr>
      </w:pPr>
      <w:r>
        <w:rPr/>
      </w:r>
    </w:p>
    <w:p>
      <w:pPr>
        <w:pStyle w:val="Normal"/>
        <w:jc w:val="both"/>
        <w:rPr>
          <w:rFonts w:ascii="Arial" w:hAnsi="Arial" w:cs="Arial"/>
        </w:rPr>
      </w:pPr>
      <w:r>
        <w:rPr>
          <w:rFonts w:cs="Arial" w:ascii="Arial" w:hAnsi="Arial"/>
        </w:rPr>
        <w:t xml:space="preserve">1.3. OBRIGAÇÕES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Responsabilizar-se pela segurança das máquinas e veículos durante a execução dos serviços;</w:t>
      </w:r>
    </w:p>
    <w:p>
      <w:pPr>
        <w:pStyle w:val="Normal"/>
        <w:jc w:val="both"/>
        <w:rPr>
          <w:rFonts w:ascii="Arial" w:hAnsi="Arial" w:cs="Arial"/>
        </w:rPr>
      </w:pPr>
      <w:r>
        <w:rPr>
          <w:rFonts w:cs="Arial" w:ascii="Arial" w:hAnsi="Arial"/>
        </w:rPr>
        <w:t>-Utilizar suas próprias ferramentas e equipamentos para a execução dos serviços e substituição das peças;</w:t>
      </w:r>
    </w:p>
    <w:p>
      <w:pPr>
        <w:pStyle w:val="Normal"/>
        <w:jc w:val="both"/>
        <w:rPr>
          <w:rFonts w:ascii="Arial" w:hAnsi="Arial" w:cs="Arial"/>
        </w:rPr>
      </w:pPr>
      <w:r>
        <w:rPr>
          <w:rFonts w:cs="Arial" w:ascii="Arial" w:hAnsi="Arial"/>
        </w:rPr>
        <w:t>-Utilizar na execução dos serviços somente ferramentas recomendadas pelo fabricante;</w:t>
      </w:r>
    </w:p>
    <w:p>
      <w:pPr>
        <w:pStyle w:val="Normal"/>
        <w:jc w:val="both"/>
        <w:rPr>
          <w:rFonts w:ascii="Arial" w:hAnsi="Arial" w:cs="Arial"/>
        </w:rPr>
      </w:pPr>
      <w:r>
        <w:rPr>
          <w:rFonts w:cs="Arial" w:ascii="Arial" w:hAnsi="Arial"/>
        </w:rPr>
        <w:t>-Atender prontamente as requisições do Município para executar os serviços da manutenção preventiva e corretiva  nas máquinas e veículos;</w:t>
      </w:r>
    </w:p>
    <w:p>
      <w:pPr>
        <w:pStyle w:val="Normal"/>
        <w:jc w:val="both"/>
        <w:rPr>
          <w:rFonts w:ascii="Arial" w:hAnsi="Arial" w:cs="Arial"/>
        </w:rPr>
      </w:pPr>
      <w:r>
        <w:rPr>
          <w:rFonts w:cs="Arial" w:ascii="Arial" w:hAnsi="Arial"/>
        </w:rPr>
        <w:t>-Fornecer ao Município  no prazo de até 48 (quarenta e oito) horas quando for reparo ou conserto de grande proporção, após a retirada do veículo/máquina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pPr>
        <w:pStyle w:val="Normal"/>
        <w:jc w:val="both"/>
        <w:rPr>
          <w:rFonts w:ascii="Arial" w:hAnsi="Arial" w:cs="Arial"/>
        </w:rPr>
      </w:pPr>
      <w:r>
        <w:rPr>
          <w:rFonts w:cs="Arial" w:ascii="Arial" w:hAnsi="Arial"/>
        </w:rPr>
        <w:t>-Entregar as máquinas/veículos  submetidos aos serviços  devidamente limpos, ou seja, livre de resíduos provenientes da execução dos serviços, tais como graxa, óleo, cola, tinta, poeira, entre outros;</w:t>
      </w:r>
    </w:p>
    <w:p>
      <w:pPr>
        <w:pStyle w:val="Normal"/>
        <w:jc w:val="both"/>
        <w:rPr>
          <w:rFonts w:ascii="Arial" w:hAnsi="Arial" w:cs="Arial"/>
        </w:rPr>
      </w:pPr>
      <w:r>
        <w:rPr>
          <w:rFonts w:cs="Arial" w:ascii="Arial" w:hAnsi="Arial"/>
        </w:rPr>
        <w:t>-Entregar o bem público ao Município somente após conferência  de todos os itens de segurança e funcionamento vistoriados;</w:t>
      </w:r>
    </w:p>
    <w:p>
      <w:pPr>
        <w:pStyle w:val="Normal"/>
        <w:jc w:val="both"/>
        <w:rPr>
          <w:rFonts w:ascii="Arial" w:hAnsi="Arial" w:cs="Arial"/>
        </w:rPr>
      </w:pPr>
      <w:r>
        <w:rPr>
          <w:rFonts w:cs="Arial" w:ascii="Arial" w:hAnsi="Arial"/>
        </w:rPr>
        <w:t>-Promover condições de fiscalização de todos os serviços contratados, bem como, dos seus procedimentos e técnicas  empregadas;</w:t>
      </w:r>
    </w:p>
    <w:p>
      <w:pPr>
        <w:pStyle w:val="Normal"/>
        <w:jc w:val="both"/>
        <w:rPr>
          <w:rFonts w:ascii="Arial" w:hAnsi="Arial" w:cs="Arial"/>
        </w:rPr>
      </w:pPr>
      <w:r>
        <w:rPr>
          <w:rFonts w:cs="Arial" w:ascii="Arial" w:hAnsi="Arial"/>
        </w:rPr>
        <w:t>-Devolver, no ato da saída da máquina/veículo da sua oficina, todas as peças que forem substituídas  nas mesmas embalagens das utilizadas;</w:t>
      </w:r>
    </w:p>
    <w:p>
      <w:pPr>
        <w:pStyle w:val="Normal"/>
        <w:jc w:val="both"/>
        <w:rPr>
          <w:rFonts w:ascii="Arial" w:hAnsi="Arial" w:cs="Arial"/>
        </w:rPr>
      </w:pPr>
      <w:r>
        <w:rPr>
          <w:rFonts w:cs="Arial" w:ascii="Arial" w:hAnsi="Arial"/>
        </w:rPr>
        <w:t>-Transportar com segurança e pessoal habilitado e dentro das normas do Código de Trânsito Brasileiro até o local da sua oficina (independente do endereço) os bens públicos do município de Águas Frias;</w:t>
      </w:r>
    </w:p>
    <w:p>
      <w:pPr>
        <w:pStyle w:val="Normal"/>
        <w:jc w:val="both"/>
        <w:rPr>
          <w:rFonts w:ascii="Arial" w:hAnsi="Arial" w:cs="Arial"/>
        </w:rPr>
      </w:pPr>
      <w:r>
        <w:rPr>
          <w:rFonts w:cs="Arial" w:ascii="Arial" w:hAnsi="Arial"/>
        </w:rPr>
        <w:t>- Dar livre acesso  em suas dependências  dos terceirizados ao Município para  execução dos serviços  nas máquinas/veículos pertencentes ao Município.</w:t>
      </w:r>
    </w:p>
    <w:p>
      <w:pPr>
        <w:pStyle w:val="Normal"/>
        <w:jc w:val="both"/>
        <w:rPr>
          <w:rFonts w:ascii="Arial" w:hAnsi="Arial" w:cs="Arial"/>
        </w:rPr>
      </w:pPr>
      <w:r>
        <w:rPr>
          <w:rFonts w:cs="Arial" w:ascii="Arial" w:hAnsi="Arial"/>
        </w:rPr>
        <w:t>- Responsabilizar-se por quaisquer danos  materiais ou pessoais que ocorrerem no decorrer da prestação de serviços, inclusive perante terceiros;</w:t>
      </w:r>
    </w:p>
    <w:p>
      <w:pPr>
        <w:pStyle w:val="Normal"/>
        <w:jc w:val="both"/>
        <w:rPr>
          <w:rFonts w:ascii="Arial" w:hAnsi="Arial" w:cs="Arial"/>
        </w:rPr>
      </w:pPr>
      <w:r>
        <w:rPr>
          <w:rFonts w:cs="Arial" w:ascii="Arial" w:hAnsi="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pPr>
        <w:pStyle w:val="Normal"/>
        <w:jc w:val="both"/>
        <w:rPr>
          <w:rFonts w:ascii="Arial" w:hAnsi="Arial" w:cs="Arial"/>
        </w:rPr>
      </w:pPr>
      <w:r>
        <w:rPr>
          <w:rFonts w:cs="Arial" w:ascii="Arial" w:hAnsi="Arial"/>
        </w:rPr>
        <w:t>- Executar os serviços objeto desta licitação mediante atuação de profissionais especializados e manter  quadro de pessoal suficiente para execução dos serviços, sem interrupção;</w:t>
      </w:r>
    </w:p>
    <w:p>
      <w:pPr>
        <w:pStyle w:val="Normal"/>
        <w:jc w:val="both"/>
        <w:rPr>
          <w:rFonts w:ascii="Arial" w:hAnsi="Arial" w:cs="Arial"/>
        </w:rPr>
      </w:pPr>
      <w:r>
        <w:rPr>
          <w:rFonts w:cs="Arial" w:ascii="Arial" w:hAnsi="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pPr>
        <w:pStyle w:val="Normal"/>
        <w:jc w:val="both"/>
        <w:rPr>
          <w:rFonts w:ascii="Arial" w:hAnsi="Arial" w:cs="Arial"/>
        </w:rPr>
      </w:pPr>
      <w:r>
        <w:rPr>
          <w:rFonts w:cs="Arial" w:ascii="Arial" w:hAnsi="Arial"/>
        </w:rPr>
        <w:t>- Responsabilizar-se  por toda e qualquer  má execução do serviço prestado;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SUBCONTRATAÇÃO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DETENTORA DA ATA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1.5– A contratação de pessoal, as máquinas, veículos, ferramentas, equipamentos e fornecimento de todos os  materiais necessários a execução dos serviços é de responsabilidade  da DETENTORA DA ATA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1.6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1.7 – É de responsabilidade da  DETENTORA DA ATA  o fornecimento dos Equipamentos de Proteção Individual, bem como os Equipamentos de Proteção Coletiva aos seus empregados.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1.8 - Quaisquer reparos de falhas ou reexecução dos serviços serão obrigatoriamente feitos pela DETENTORA DA ATA   sem nenhum ônus para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1.9 RESPONSABILIDADES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1.9.1. A DETENTORA DA ATA  será responsável por:</w:t>
      </w:r>
    </w:p>
    <w:p>
      <w:pPr>
        <w:pStyle w:val="Normal"/>
        <w:jc w:val="both"/>
        <w:rPr>
          <w:rFonts w:ascii="Arial" w:hAnsi="Arial" w:cs="Arial"/>
        </w:rPr>
      </w:pPr>
      <w:r>
        <w:rPr>
          <w:rFonts w:cs="Arial" w:ascii="Arial" w:hAnsi="Arial"/>
        </w:rPr>
        <w:t>a) Retirar dos serviços quaisquer de seus empregados que, por incapacidade técnica, ação, omissão, inconveniência de conduta ou a pedido do MUNICÍPIO DE ÁGUAS FRIAS, seja julgado nocivo ao trabalho;</w:t>
      </w:r>
    </w:p>
    <w:p>
      <w:pPr>
        <w:pStyle w:val="Normal"/>
        <w:jc w:val="both"/>
        <w:rPr>
          <w:rFonts w:ascii="Arial" w:hAnsi="Arial" w:cs="Arial"/>
        </w:rPr>
      </w:pPr>
      <w:r>
        <w:rPr>
          <w:rFonts w:cs="Arial" w:ascii="Arial" w:hAnsi="Arial"/>
        </w:rPr>
        <w:t>b) Isentar o MUNICÍPIO DE ÁGUAS FRIAS  de qualquer responsabilidade civil, criminal, trabalhista, tributária, fiscal, administrativa e previdenciária decorrente dos serviços objeto deste contrato;</w:t>
      </w:r>
    </w:p>
    <w:p>
      <w:pPr>
        <w:pStyle w:val="Normal"/>
        <w:jc w:val="both"/>
        <w:rPr>
          <w:rFonts w:ascii="Arial" w:hAnsi="Arial" w:cs="Arial"/>
        </w:rPr>
      </w:pPr>
      <w:r>
        <w:rPr>
          <w:rFonts w:cs="Arial" w:ascii="Arial" w:hAnsi="Arial"/>
        </w:rPr>
        <w:t>c) Responder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pPr>
        <w:pStyle w:val="Normal"/>
        <w:jc w:val="both"/>
        <w:rPr>
          <w:rFonts w:ascii="Arial" w:hAnsi="Arial" w:cs="Arial"/>
        </w:rPr>
      </w:pPr>
      <w:r>
        <w:rPr>
          <w:rFonts w:cs="Arial" w:ascii="Arial" w:hAnsi="Arial"/>
        </w:rPr>
        <w:t>d)Quanto a quaisquer danos causados ao equipamento utilizado para prestação dos serviços, arcando com qualquer custo advindo ou decorrente do mesmo;</w:t>
      </w:r>
    </w:p>
    <w:p>
      <w:pPr>
        <w:pStyle w:val="Normal"/>
        <w:jc w:val="both"/>
        <w:rPr>
          <w:rFonts w:ascii="Arial" w:hAnsi="Arial" w:cs="Arial"/>
        </w:rPr>
      </w:pPr>
      <w:r>
        <w:rPr>
          <w:rFonts w:cs="Arial" w:ascii="Arial" w:hAnsi="Arial"/>
        </w:rPr>
        <w:t>e) Quanto a toda e qualquer responsabilidade ou reparação civil e penal que porventura surgir em decorrência da prestação dos referidos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1.10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1.11.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DESCRIÇÃO 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1.12.1. MANUTENÇÃO CORRETIVA: Refere-se ao conserto do veículo em função de defeito ou dano material registrado que possa comprometer sua utilização. A manutenção corretiva será efetuada sempre que houver sua necessidade. Os serviços de manutenção corretiva que exigirem a troca de peças poderão ser realizados desde que comprovada sua inadequação, mediante orçamento e prévia autorização do Município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1.12.2. METODOLOGIA DOS SERVIÇOS: Os defeitos ou danos constatados deverão ser registrados pela DETENTORA DA ATA, que apresentará ao MUNICÍPIO o orçamento prévio, com os valores individualizados de peças e serviços. Os serviços poderão ser efetuados, após o recebimento e autorização do Município.  O Município atestará a execução, ao final de sua conclusão, realizando teste de performance e funcionamento. As peças porventura substituídas serão devolvidas ao Município.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1.12.3. DA GARANTIA DAS PEÇAS E SERVIÇOS: Todas as peças deverão ser novas, de primeiro uso e deverão ter garantia mínima de 06 (seis) meses. Os serviços terão garantia mínima de 03 (três) meses. As peças e os serviços em garantia serão repostos sem ônus para o Município de Águas Frias.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1.12.4. PRAZO DE EXECUÇÃO DOS SERVIÇOS: Quanto aberto um chamado para manutenção/conserto de algum veículo/máquina, o mesmo deverá ter atendimento em até 03 horas informando ao operador ou o Secretário responsável pela respectiva secretaria solicitante para acompanhamento dos serviços realizados.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 DAS CONDIÇÕES GERAIS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1.13.1. Os serviços deverão ser prestados  da Garagem da Secretaria Municipal de Infraestrutura do Município de Águas Frias, quando assim for solicitado pelo Município.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1.13.2. A DETENTORA DA ATA deverá dispor de serviço de REBOQUE para fins de transporte dos veículos que estejam sem condições de funcionamento, com cobertura gratuita para deslocamentos necessários.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1.13.3. Os serviços seguirão rigorosamente os padrões técnicos similares aos utilizados nas assistências técnicas das concessionárias.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1.13.4. Nos preços propostos já estarão incluídas as despesas referentes: - Aos salários, encargos sociais, tributários e fiscais decorrentes da realização dos serviços; - Ao transporte (ida/volta) de qualquer equipamento para a oficina da DETENTORA DA ATA, em caso de necessidade a locomoção dos técnicos até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1.13.5. 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w:t>
      </w:r>
      <w:r>
        <w:rPr>
          <w:rFonts w:cs="Arial" w:ascii="Arial" w:hAnsi="Arial"/>
        </w:rPr>
        <w:t>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3.1. A PRESENTE Ata de Registro de Preços terá validade de  até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Ata:24 de junho de 2022</w:t>
      </w:r>
    </w:p>
    <w:p>
      <w:pPr>
        <w:pStyle w:val="Normal"/>
        <w:jc w:val="both"/>
        <w:rPr/>
      </w:pPr>
      <w:r>
        <w:rPr>
          <w:rFonts w:eastAsia="Calibri" w:cs="Arial" w:ascii="Arial" w:hAnsi="Arial"/>
        </w:rPr>
        <w:t>3.1.2 Final da Vigência da Ata:23 de ju</w:t>
      </w:r>
      <w:r>
        <w:rPr>
          <w:rFonts w:eastAsia="Calibri" w:cs="Arial" w:ascii="Arial" w:hAnsi="Arial"/>
        </w:rPr>
        <w:t>nho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A detentora será obrigada a fornecer a quantidade prevista na Ata, acrescida de até 25% (vinte e cinco por cento), se solicitado pelo </w:t>
      </w:r>
      <w:r>
        <w:rPr>
          <w:rFonts w:cs="Arial" w:ascii="Arial" w:hAnsi="Arial"/>
          <w:b/>
        </w:rPr>
        <w:t xml:space="preserve">MUNICÍPIO DE ÁGUAS FRIAS </w:t>
      </w:r>
      <w:r>
        <w:rPr>
          <w:rFonts w:cs="Arial" w:ascii="Arial" w:hAnsi="Arial"/>
        </w:rPr>
        <w:t>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pPr>
      <w:r>
        <w:rPr>
          <w:rFonts w:cs="Arial" w:ascii="Arial" w:hAnsi="Arial"/>
          <w:b/>
        </w:rPr>
        <w:t xml:space="preserve">5.5. As quantidades solicitadas serão de acordo com as necessidades, respeitando-se o valor estimado, </w:t>
      </w:r>
      <w:r>
        <w:rPr>
          <w:rFonts w:cs="Arial" w:ascii="Arial" w:hAnsi="Arial"/>
          <w:b/>
        </w:rPr>
        <w:t xml:space="preserve">conforme o item </w:t>
      </w:r>
      <w:r>
        <w:rPr>
          <w:rFonts w:cs="Arial" w:ascii="Arial" w:hAnsi="Arial"/>
          <w:b/>
          <w:bCs/>
        </w:rPr>
        <w:t>1.12.4.</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despesas</w:t>
      </w:r>
      <w:r>
        <w:rPr>
          <w:rFonts w:cs="Arial" w:ascii="Arial" w:hAnsi="Arial"/>
          <w:bCs/>
        </w:rPr>
        <w:t xml:space="preserve"> decorrentes de fornecimentos correrão à conta das dotações expressamente consignadas no orçamento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7</w:t>
      </w:r>
      <w:r>
        <w:rPr>
          <w:rFonts w:cs="Arial" w:ascii="Arial" w:hAnsi="Arial"/>
        </w:rPr>
        <w:t>. DOS PAGAMENTOS</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7.1. Considerando-se o recebimento definitivo de cada entrega, o MUNICÍPIO DE ÁGUAS FRIAS efetuará o pagamento à DETENTORA, em  até 40 dias após a prestação dos serviços  e apresentação  da Nota Fiscal / Fatura contendo o número do Empenho a que se refere e o termo de recebimento, ao Setor de Compras.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7.2. A Nota Fiscal / Fatura que for apresentada com erro será devolvida ao detentor, para retificação ou substituição, contando-se o prazo estabelecido no subitem 7.1, a partir da data de sua reapresentação.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7.3. A nota fiscal eletrônica deverá ser emitida da seguinte forma: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7.3.1. Para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7.3.2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7.4. O pagamento será efetuado no prazo constante no edital, após o recebimento e inspeção do objeto licitado pelo Secretário responsável pela Secretaria Solicitante do Serviço condicionado à apresentação da Nota Fiscal acompanhada do relatório dos serviços realizados, contendo o dia, quem solicitou, assinatura do Secretário responsável pela respectiva secretaria solicitante do serviços ou pelo operador/motorista do veículo/máquina  atestando a execução dos serviços.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7.5 Se houver prestação de serviços no mês a Detentora da Ata deverá enviar uma vez por mês, juntamente com a nota os documentos de regularidade fiscal e trabalhista.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 DA FISCALIZAÇÃO E DO PAGAMENTO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8.1.1 Secretários responsáveis pelas Secretarias:</w:t>
      </w:r>
    </w:p>
    <w:p>
      <w:pPr>
        <w:pStyle w:val="Normal"/>
        <w:jc w:val="both"/>
        <w:rPr>
          <w:rFonts w:ascii="Arial" w:hAnsi="Arial" w:cs="Arial"/>
          <w:b/>
          <w:b/>
          <w:bCs/>
        </w:rPr>
      </w:pPr>
      <w:r>
        <w:rPr>
          <w:rFonts w:cs="Arial" w:ascii="Arial" w:hAnsi="Arial"/>
          <w:b/>
          <w:bCs/>
        </w:rPr>
        <w:t>a) Gabinete do Prefeito e Secretaria Municipal de Administração, Finanças e Planejamento: Sr. OLDAIR NATAL CITADELLA</w:t>
      </w:r>
    </w:p>
    <w:p>
      <w:pPr>
        <w:pStyle w:val="Normal"/>
        <w:jc w:val="both"/>
        <w:rPr>
          <w:rFonts w:ascii="Arial" w:hAnsi="Arial" w:cs="Arial"/>
          <w:b/>
          <w:b/>
          <w:bCs/>
        </w:rPr>
      </w:pPr>
      <w:r>
        <w:rPr>
          <w:rFonts w:cs="Arial" w:ascii="Arial" w:hAnsi="Arial"/>
          <w:b/>
          <w:bCs/>
        </w:rPr>
        <w:t>b) Secretaria Municipal de Educação, Cultura, Esportes e Turismo: Sra.  JOCINÉIA PANDOLFO GONÇALVES DA SILVA</w:t>
      </w:r>
    </w:p>
    <w:p>
      <w:pPr>
        <w:pStyle w:val="Normal"/>
        <w:jc w:val="both"/>
        <w:rPr>
          <w:rFonts w:ascii="Arial" w:hAnsi="Arial" w:cs="Arial"/>
          <w:b/>
          <w:b/>
          <w:bCs/>
        </w:rPr>
      </w:pPr>
      <w:r>
        <w:rPr>
          <w:rFonts w:cs="Arial" w:ascii="Arial" w:hAnsi="Arial"/>
          <w:b/>
          <w:bCs/>
        </w:rPr>
        <w:t>c) Secretaria Municipal de Agricultura e Meio Ambiente: Sr. LIDO ISOTTON</w:t>
      </w:r>
    </w:p>
    <w:p>
      <w:pPr>
        <w:pStyle w:val="Normal"/>
        <w:jc w:val="both"/>
        <w:rPr>
          <w:rFonts w:ascii="Arial" w:hAnsi="Arial" w:cs="Arial"/>
          <w:b/>
          <w:b/>
          <w:bCs/>
        </w:rPr>
      </w:pPr>
      <w:r>
        <w:rPr>
          <w:rFonts w:cs="Arial" w:ascii="Arial" w:hAnsi="Arial"/>
          <w:b/>
          <w:bCs/>
        </w:rPr>
        <w:t>d) Secretaria Municipal de Infraestrutura: Sr. ILSON CASSOL</w:t>
      </w:r>
    </w:p>
    <w:p>
      <w:pPr>
        <w:pStyle w:val="Normal"/>
        <w:jc w:val="both"/>
        <w:rPr>
          <w:rFonts w:ascii="Arial" w:hAnsi="Arial" w:cs="Arial"/>
          <w:b/>
          <w:b/>
          <w:bCs/>
        </w:rPr>
      </w:pPr>
      <w:r>
        <w:rPr>
          <w:rFonts w:cs="Arial" w:ascii="Arial" w:hAnsi="Arial"/>
          <w:b/>
          <w:bCs/>
        </w:rPr>
        <w:t>e) Secretaria Municipal de Assistência Social: Sr. CHARLES LUIZ MORATELI</w:t>
      </w:r>
    </w:p>
    <w:p>
      <w:pPr>
        <w:pStyle w:val="Normal"/>
        <w:jc w:val="both"/>
        <w:rPr>
          <w:rFonts w:ascii="Arial" w:hAnsi="Arial" w:cs="Arial"/>
          <w:b/>
          <w:b/>
          <w:bCs/>
        </w:rPr>
      </w:pPr>
      <w:r>
        <w:rPr>
          <w:rFonts w:cs="Arial" w:ascii="Arial" w:hAnsi="Arial"/>
          <w:b/>
          <w:bCs/>
        </w:rPr>
        <w:t>f) Fundo Municipal de Saúde de Águas Frias: Sra. LADIR ZANELLA PATEL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até 40 dias após a prestação dos serviços ,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21 de junho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MECANICA AGUAS FRIAS LTDA</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12</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LibreOffice/6.4.4.2$Windows_X86_64 LibreOffice_project/3d775be2011f3886db32dfd395a6a6d1ca2630ff</Application>
  <Pages>12</Pages>
  <Words>5785</Words>
  <Characters>32808</Characters>
  <CharactersWithSpaces>38493</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2022-06-23T10:04:17Z</dcterms:modified>
  <cp:revision>7</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