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139</w:t>
      </w:r>
      <w:r>
        <w:rPr>
          <w:rFonts w:cs="Arial" w:ascii="Arial" w:hAnsi="Arial"/>
          <w:b/>
          <w:lang w:val="pt-BR" w:eastAsia="pt-BR"/>
        </w:rPr>
        <w:t>/2022</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Se</w:t>
      </w:r>
      <w:r>
        <w:rPr>
          <w:rFonts w:cs="Arial" w:ascii="Arial" w:hAnsi="Arial"/>
        </w:rPr>
        <w:t xml:space="preserv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MIDAS SEGURANÇA PRIVADA LTDA, com sede na(o)</w:t>
      </w:r>
      <w:r>
        <w:rPr>
          <w:rFonts w:cs="Arial" w:ascii="Arial" w:hAnsi="Arial"/>
          <w:lang w:val="pt-BR" w:eastAsia="pt-BR"/>
        </w:rPr>
        <w:t xml:space="preserve"> RUA CINCO DE OUTUBRO, 396, bairro SALTO DO  NORTE</w:t>
      </w:r>
      <w:r>
        <w:rPr>
          <w:rFonts w:cs="Arial" w:ascii="Arial" w:hAnsi="Arial"/>
        </w:rPr>
        <w:t xml:space="preserve">, na cidade de BLUMENAU-SC, inscrita no CGC/MF sob o nº. </w:t>
      </w:r>
      <w:r>
        <w:rPr>
          <w:rFonts w:cs="Arial" w:ascii="Arial" w:hAnsi="Arial"/>
          <w:lang w:val="pt-BR" w:eastAsia="pt-BR"/>
        </w:rPr>
        <w:t xml:space="preserve"> 38.092.528/0001-00 </w:t>
      </w:r>
      <w:r>
        <w:rPr>
          <w:rFonts w:cs="Arial" w:ascii="Arial" w:hAnsi="Arial"/>
        </w:rPr>
        <w:t xml:space="preserve">neste ato representada por seu(ua) representante legal Senhor(a)  DIELSON ROSA inscrito no CPF nº025.540.599-50, doravante denominada simplesmente de </w:t>
      </w:r>
      <w:r>
        <w:rPr>
          <w:rFonts w:cs="Arial" w:ascii="Arial" w:hAnsi="Arial"/>
          <w:b/>
        </w:rPr>
        <w:t>CONTRATADA</w:t>
      </w:r>
      <w:r>
        <w:rPr>
          <w:rFonts w:cs="Arial" w:ascii="Arial" w:hAnsi="Arial"/>
        </w:rPr>
        <w:t>, em decorrência do Processo de Licitação Nº.  138</w:t>
      </w:r>
      <w:r>
        <w:rPr>
          <w:rFonts w:cs="Arial" w:ascii="Arial" w:hAnsi="Arial"/>
          <w:lang w:val="pt-BR" w:eastAsia="pt-BR"/>
        </w:rPr>
        <w:t>/2022</w:t>
      </w:r>
      <w:r>
        <w:rPr>
          <w:rFonts w:cs="Arial" w:ascii="Arial" w:hAnsi="Arial"/>
        </w:rPr>
        <w:t>, Dispensa por Limite Nº.53</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20/10/22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ind w:left="0" w:right="0" w:firstLine="1134"/>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1.1 - O objeto do presente contrato é a Contratação de empresa especializada para Prestação de Serviço de Segurança não armada, para suprir as necessidades do Município de Águas Frias conforme Lei Municipal Nº1.344/2022</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rFonts w:ascii="Arial" w:hAnsi="Arial" w:cs="Arial"/>
          <w:highlight w:val="green"/>
        </w:rPr>
      </w:pPr>
      <w:r>
        <w:rPr>
          <w:rFonts w:cs="Arial" w:ascii="Arial" w:hAnsi="Arial"/>
          <w:highlight w:val="green"/>
        </w:rPr>
      </w:r>
    </w:p>
    <w:p>
      <w:pPr>
        <w:pStyle w:val="Normal"/>
        <w:ind w:left="0" w:right="0" w:firstLine="1134"/>
        <w:jc w:val="both"/>
        <w:rPr>
          <w:rFonts w:ascii="Arial" w:hAnsi="Arial" w:cs="Arial"/>
        </w:rPr>
      </w:pPr>
      <w:r>
        <w:rPr>
          <w:rFonts w:cs="Arial" w:ascii="Arial" w:hAnsi="Arial"/>
        </w:rPr>
        <w:t>1.1.1- O contratado deverá realizar revistas pessoais e segurança preventiva a fim de garantir a incolumidade física das pessoas e a integridade do patrimônio descrito abaixo:</w:t>
      </w:r>
    </w:p>
    <w:p>
      <w:pPr>
        <w:pStyle w:val="Normal"/>
        <w:ind w:left="0" w:right="0" w:firstLine="1134"/>
        <w:jc w:val="both"/>
        <w:rPr>
          <w:rFonts w:ascii="Arial" w:hAnsi="Arial" w:cs="Arial"/>
        </w:rPr>
      </w:pPr>
      <w:r>
        <w:rPr>
          <w:rFonts w:cs="Arial" w:ascii="Arial" w:hAnsi="Arial"/>
        </w:rPr>
        <w:t>a)</w:t>
      </w:r>
      <w:r>
        <w:rPr>
          <w:rFonts w:cs="Arial" w:ascii="Arial" w:hAnsi="Arial"/>
          <w:b/>
          <w:bCs/>
          <w:u w:val="single"/>
        </w:rPr>
        <w:t xml:space="preserve"> Evento do aniversário do Município</w:t>
      </w:r>
      <w:r>
        <w:rPr>
          <w:rFonts w:cs="Arial" w:ascii="Arial" w:hAnsi="Arial"/>
        </w:rPr>
        <w:t xml:space="preserve">:  realizado no pavilhão comunitário, sede do município de Águas Frias, no dia 12 de dezembro de 2022, com inicio previsto para as 9 horas e final aproximado 19 horas com fornecimento de 12 vigilantes. </w:t>
      </w:r>
    </w:p>
    <w:p>
      <w:pPr>
        <w:pStyle w:val="Normal"/>
        <w:ind w:left="0" w:right="0" w:firstLine="1134"/>
        <w:jc w:val="both"/>
        <w:rPr>
          <w:rFonts w:ascii="Arial" w:hAnsi="Arial" w:cs="Arial"/>
        </w:rPr>
      </w:pPr>
      <w:r>
        <w:rPr>
          <w:rFonts w:cs="Arial" w:ascii="Arial" w:hAnsi="Arial"/>
        </w:rPr>
        <w:t xml:space="preserve">b) </w:t>
      </w:r>
      <w:r>
        <w:rPr>
          <w:rFonts w:cs="Arial" w:ascii="Arial" w:hAnsi="Arial"/>
          <w:b/>
          <w:bCs/>
          <w:u w:val="single"/>
        </w:rPr>
        <w:t>Evento de Acendimento das Luzes Natalina</w:t>
      </w:r>
      <w:r>
        <w:rPr>
          <w:rFonts w:cs="Arial" w:ascii="Arial" w:hAnsi="Arial"/>
        </w:rPr>
        <w:t>s: No dia 27/11/2022, na praça Municipal Armando Zanella, com início às 18:30 e fim previsto para as 01:00 do 28/11/2022, com fornecimento de 6 vigilantes.</w:t>
      </w:r>
    </w:p>
    <w:p>
      <w:pPr>
        <w:pStyle w:val="Normal"/>
        <w:ind w:left="0" w:right="0" w:firstLine="1134"/>
        <w:jc w:val="both"/>
        <w:rPr>
          <w:rFonts w:ascii="Arial" w:hAnsi="Arial" w:cs="Arial"/>
        </w:rPr>
      </w:pPr>
      <w:r>
        <w:rPr>
          <w:rFonts w:cs="Arial" w:ascii="Arial" w:hAnsi="Arial"/>
        </w:rPr>
        <w:t>1.1.2 Vigilantes deverão estar devidamente uniformizados, identificados e portadores da CNV (Carteira Nacional de Vigilantes).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1.1.3 A prestação de serviços acima descritos se faz necessário para o reforço ao trabalho da Polícia Militar, com a contratação de segurança desarmada particular, visando garantir a segurança e a integridade física das pessoas no evento realizado e integridade do patrimônio.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1.2 – A </w:t>
      </w:r>
      <w:r>
        <w:rPr>
          <w:rFonts w:cs="Arial" w:ascii="Arial" w:hAnsi="Arial"/>
          <w:b/>
        </w:rPr>
        <w:t>CONTRATADA</w:t>
      </w:r>
      <w:r>
        <w:rPr>
          <w:rFonts w:cs="Arial" w:ascii="Arial" w:hAnsi="Arial"/>
        </w:rPr>
        <w:t xml:space="preserve"> prestará  os serviços  nos locais indicados pelas Secretarias solicitantes e fornecerá garantia dos  pelos serviços prestados.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 A contratação de pessoal, as máquinas, veículos, ferramentas, equipamentos e fornecimento de todos os  materiais necessários a execução dos serviços é de responsabilidade  da </w:t>
      </w:r>
      <w:r>
        <w:rPr>
          <w:rFonts w:cs="Arial" w:ascii="Arial" w:hAnsi="Arial"/>
          <w:b/>
        </w:rPr>
        <w:t>CONTRATADA.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1.4 – Ao assinar este Contrato, a </w:t>
      </w:r>
      <w:r>
        <w:rPr>
          <w:rFonts w:cs="Arial" w:ascii="Arial" w:hAnsi="Arial"/>
          <w:b/>
        </w:rPr>
        <w:t>CONTRATADA</w:t>
      </w:r>
      <w:r>
        <w:rPr>
          <w:rFonts w:cs="Arial" w:ascii="Arial" w:hAnsi="Arial"/>
        </w:rPr>
        <w:t xml:space="preserve">  declara que tomou pleno conhecimento da natureza e condições locais onde serão executados os serviços objeto do presente contrato. Não será considerada pela </w:t>
      </w:r>
      <w:r>
        <w:rPr>
          <w:rFonts w:cs="Arial" w:ascii="Arial" w:hAnsi="Arial"/>
          <w:b/>
        </w:rPr>
        <w:t>CONTRATANTE</w:t>
      </w:r>
      <w:r>
        <w:rPr>
          <w:rFonts w:cs="Arial" w:ascii="Arial" w:hAnsi="Arial"/>
        </w:rPr>
        <w:t xml:space="preserve"> qualquer reclamação ou reivindicação por parte da </w:t>
      </w:r>
      <w:r>
        <w:rPr>
          <w:rFonts w:cs="Arial" w:ascii="Arial" w:hAnsi="Arial"/>
          <w:b/>
        </w:rPr>
        <w:t>CONTRATADA</w:t>
      </w:r>
      <w:r>
        <w:rPr>
          <w:rFonts w:cs="Arial" w:ascii="Arial" w:hAnsi="Arial"/>
        </w:rPr>
        <w:t xml:space="preserve"> fundamentada na falta de conhecimento dessas condições.</w:t>
      </w:r>
    </w:p>
    <w:p>
      <w:pPr>
        <w:pStyle w:val="Normal"/>
        <w:ind w:left="0" w:right="0" w:firstLine="1134"/>
        <w:jc w:val="both"/>
        <w:rPr>
          <w:rFonts w:ascii="Arial" w:hAnsi="Arial" w:cs="Arial"/>
        </w:rPr>
      </w:pPr>
      <w:r>
        <w:rPr>
          <w:rFonts w:cs="Arial" w:ascii="Arial" w:hAnsi="Arial"/>
        </w:rPr>
      </w:r>
    </w:p>
    <w:p>
      <w:pPr>
        <w:pStyle w:val="Normal"/>
        <w:ind w:left="0" w:right="0" w:firstLine="1200"/>
        <w:jc w:val="both"/>
        <w:rPr/>
      </w:pPr>
      <w:r>
        <w:rPr>
          <w:rFonts w:cs="Arial" w:ascii="Arial" w:hAnsi="Arial"/>
        </w:rPr>
        <w:t xml:space="preserve">1.5 – A </w:t>
      </w:r>
      <w:r>
        <w:rPr>
          <w:rFonts w:cs="Arial" w:ascii="Arial" w:hAnsi="Arial"/>
          <w:b/>
        </w:rPr>
        <w:t xml:space="preserve">CONTRATANTE </w:t>
      </w:r>
      <w:r>
        <w:rPr>
          <w:rFonts w:cs="Arial" w:ascii="Arial" w:hAnsi="Arial"/>
        </w:rPr>
        <w:t xml:space="preserve"> não se responsabiliza por quaisquer direitos trabalhistas,  previdenciários ou sociais dos empregados e/ou profissionais contratados pela </w:t>
      </w:r>
      <w:r>
        <w:rPr>
          <w:rFonts w:cs="Arial" w:ascii="Arial" w:hAnsi="Arial"/>
          <w:b/>
        </w:rPr>
        <w:t>CONTRATADA</w:t>
      </w:r>
      <w:r>
        <w:rPr>
          <w:rFonts w:cs="Arial" w:ascii="Arial" w:hAnsi="Arial"/>
        </w:rPr>
        <w:t xml:space="preserve"> para realização dos serviços, cabendo à esta todas as despesas realizadas ou não.</w:t>
      </w:r>
    </w:p>
    <w:p>
      <w:pPr>
        <w:pStyle w:val="Normal"/>
        <w:ind w:left="0" w:right="0" w:firstLine="1100"/>
        <w:jc w:val="both"/>
        <w:rPr>
          <w:rFonts w:ascii="Arial" w:hAnsi="Arial" w:cs="Arial"/>
        </w:rPr>
      </w:pPr>
      <w:r>
        <w:rPr>
          <w:rFonts w:cs="Arial" w:ascii="Arial" w:hAnsi="Arial"/>
        </w:rPr>
      </w:r>
    </w:p>
    <w:p>
      <w:pPr>
        <w:pStyle w:val="Normal"/>
        <w:ind w:left="0" w:right="0" w:firstLine="1100"/>
        <w:jc w:val="both"/>
        <w:rPr/>
      </w:pPr>
      <w:r>
        <w:rPr>
          <w:rFonts w:eastAsia="Arial" w:cs="Arial" w:ascii="Arial" w:hAnsi="Arial"/>
        </w:rPr>
        <w:t xml:space="preserve"> </w:t>
      </w:r>
      <w:r>
        <w:rPr>
          <w:rFonts w:cs="Arial" w:ascii="Arial" w:hAnsi="Arial"/>
        </w:rPr>
        <w:t xml:space="preserve">1.6 – É de responsabilidade da  </w:t>
      </w:r>
      <w:r>
        <w:rPr>
          <w:rFonts w:cs="Arial" w:ascii="Arial" w:hAnsi="Arial"/>
          <w:b/>
        </w:rPr>
        <w:t>CONTRATADA</w:t>
      </w:r>
      <w:r>
        <w:rPr>
          <w:rFonts w:cs="Arial" w:ascii="Arial" w:hAnsi="Arial"/>
        </w:rPr>
        <w:t xml:space="preserve"> o fornecimento dos Equipamentos de Proteção Individual, bem como os Equipamentos de Proteção Coletiva aos seus empregados.</w:t>
      </w:r>
    </w:p>
    <w:p>
      <w:pPr>
        <w:pStyle w:val="Normal"/>
        <w:ind w:left="0" w:right="0" w:firstLine="1100"/>
        <w:rPr>
          <w:rFonts w:ascii="Arial" w:hAnsi="Arial" w:cs="Arial"/>
        </w:rPr>
      </w:pPr>
      <w:r>
        <w:rPr>
          <w:rFonts w:cs="Arial" w:ascii="Arial" w:hAnsi="Arial"/>
        </w:rPr>
      </w:r>
    </w:p>
    <w:p>
      <w:pPr>
        <w:pStyle w:val="Normal"/>
        <w:ind w:left="100" w:right="0" w:firstLine="1000"/>
        <w:jc w:val="both"/>
        <w:rPr/>
      </w:pPr>
      <w:r>
        <w:rPr>
          <w:rFonts w:eastAsia="Arial" w:cs="Arial" w:ascii="Arial" w:hAnsi="Arial"/>
        </w:rPr>
        <w:t xml:space="preserve">  </w:t>
      </w:r>
      <w:r>
        <w:rPr>
          <w:rFonts w:cs="Arial" w:ascii="Arial" w:hAnsi="Arial"/>
        </w:rPr>
        <w:t xml:space="preserve">1.7 - Quaisquer reparos de falhas ou reexecução dos serviços serão obrigatoriamente feitos pela </w:t>
      </w:r>
      <w:r>
        <w:rPr>
          <w:rFonts w:cs="Arial" w:ascii="Arial" w:hAnsi="Arial"/>
          <w:b/>
        </w:rPr>
        <w:t>CONTRATADA</w:t>
      </w:r>
      <w:r>
        <w:rPr>
          <w:rFonts w:cs="Arial" w:ascii="Arial" w:hAnsi="Arial"/>
        </w:rPr>
        <w:t xml:space="preserve">  sem nenhum ônus para a </w:t>
      </w:r>
      <w:r>
        <w:rPr>
          <w:rFonts w:cs="Arial" w:ascii="Arial" w:hAnsi="Arial"/>
          <w:b/>
        </w:rPr>
        <w:t>PREFEITURA MUNICIPAL DE ÁGUAS FRIAS.</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t>1.8 RESPONSABILIDADES DA CONTRATADA</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rPr>
      </w:pPr>
      <w:r>
        <w:rPr>
          <w:rFonts w:cs="Arial" w:ascii="Arial" w:hAnsi="Arial"/>
        </w:rPr>
        <w:t>1.8.1. A CONTRATADA será responsável por:</w:t>
      </w:r>
    </w:p>
    <w:p>
      <w:pPr>
        <w:pStyle w:val="Normal"/>
        <w:ind w:left="0" w:right="0" w:firstLine="1134"/>
        <w:jc w:val="both"/>
        <w:rPr>
          <w:rFonts w:ascii="Arial" w:hAnsi="Arial" w:cs="Arial"/>
        </w:rPr>
      </w:pPr>
      <w:r>
        <w:rPr>
          <w:rFonts w:cs="Arial" w:ascii="Arial" w:hAnsi="Arial"/>
        </w:rPr>
        <w:t>a) Retirar dos serviços quaisquer de seus empregados que, por incapacidade técnica, ação, omissão, inconveniência de conduta ou a pedido da CONTRATANTE, seja julgado nocivo ao trabalho;</w:t>
      </w:r>
    </w:p>
    <w:p>
      <w:pPr>
        <w:pStyle w:val="Normal"/>
        <w:ind w:left="0" w:right="0" w:firstLine="1134"/>
        <w:jc w:val="both"/>
        <w:rPr>
          <w:rFonts w:ascii="Arial" w:hAnsi="Arial" w:cs="Arial"/>
        </w:rPr>
      </w:pPr>
      <w:r>
        <w:rPr>
          <w:rFonts w:cs="Arial" w:ascii="Arial" w:hAnsi="Arial"/>
        </w:rPr>
        <w:t>b) Isentar a CONTRATANTE de qualquer responsabilidade civil, criminal, trabalhista, tributária, fiscal, administrativa e previdenciária decorrente dos serviços objeto deste contrato;</w:t>
      </w:r>
    </w:p>
    <w:p>
      <w:pPr>
        <w:pStyle w:val="Normal"/>
        <w:ind w:left="0" w:right="0" w:firstLine="1134"/>
        <w:jc w:val="both"/>
        <w:rPr>
          <w:rFonts w:ascii="Arial" w:hAnsi="Arial" w:cs="Arial"/>
        </w:rPr>
      </w:pPr>
      <w:r>
        <w:rPr>
          <w:rFonts w:cs="Arial" w:ascii="Arial" w:hAnsi="Arial"/>
        </w:rPr>
        <w:t>c) Responder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pPr>
        <w:pStyle w:val="Normal"/>
        <w:ind w:left="0" w:right="0" w:firstLine="1134"/>
        <w:jc w:val="both"/>
        <w:rPr>
          <w:rFonts w:ascii="Arial" w:hAnsi="Arial" w:cs="Arial"/>
        </w:rPr>
      </w:pPr>
      <w:r>
        <w:rPr>
          <w:rFonts w:cs="Arial" w:ascii="Arial" w:hAnsi="Arial"/>
        </w:rPr>
        <w:t>d)Quanto a quaisquer danos causados ao equipamento utilizado para prestação dos serviços, arcando com qualquer custo advindo ou decorrente do mesmo;</w:t>
      </w:r>
    </w:p>
    <w:p>
      <w:pPr>
        <w:pStyle w:val="Normal"/>
        <w:ind w:left="0" w:right="0" w:firstLine="1134"/>
        <w:jc w:val="both"/>
        <w:rPr>
          <w:rFonts w:ascii="Arial" w:hAnsi="Arial" w:cs="Arial"/>
        </w:rPr>
      </w:pPr>
      <w:r>
        <w:rPr>
          <w:rFonts w:cs="Arial" w:ascii="Arial" w:hAnsi="Arial"/>
        </w:rPr>
        <w:t>e) Quanto a toda e qualquer responsabilidade ou reparação civil e penal que porventura surgir em decorrência da prestação dos referidos serviços;</w:t>
      </w:r>
    </w:p>
    <w:p>
      <w:pPr>
        <w:pStyle w:val="Normal"/>
        <w:ind w:left="0" w:right="0" w:firstLine="1134"/>
        <w:jc w:val="both"/>
        <w:rPr>
          <w:rFonts w:ascii="Arial" w:hAnsi="Arial" w:cs="Arial"/>
        </w:rPr>
      </w:pPr>
      <w:r>
        <w:rPr>
          <w:rFonts w:cs="Arial" w:ascii="Arial" w:hAnsi="Arial"/>
        </w:rPr>
        <w:t>f) A CONTRATADA deverá garantir que os vigilantes apresentem-se devidamente uniformizados, identificados e portando os equipamentos de proteção individual (EPI) inerentes ao cargo. A contratada se responsabilizará em contratar somente seguranças com treinamento adequado e portadores da Carteira Nacional de Vigilantes válida.</w:t>
      </w:r>
    </w:p>
    <w:p>
      <w:pPr>
        <w:pStyle w:val="Normal"/>
        <w:ind w:left="0" w:right="0" w:firstLine="1134"/>
        <w:jc w:val="both"/>
        <w:rPr>
          <w:rFonts w:ascii="Arial" w:hAnsi="Arial" w:cs="Arial"/>
        </w:rPr>
      </w:pPr>
      <w:r>
        <w:rPr>
          <w:rFonts w:cs="Arial" w:ascii="Arial" w:hAnsi="Arial"/>
        </w:rPr>
        <w:t xml:space="preserve">g). Os uniformes deverão ser mantidos limpos e asseados, quer no aspecto do vestuário, quer no de higiene pessoal. </w:t>
      </w:r>
    </w:p>
    <w:p>
      <w:pPr>
        <w:pStyle w:val="Normal"/>
        <w:ind w:left="0" w:right="0" w:firstLine="1134"/>
        <w:jc w:val="both"/>
        <w:rPr>
          <w:rFonts w:ascii="Arial" w:hAnsi="Arial" w:cs="Arial"/>
        </w:rPr>
      </w:pPr>
      <w:r>
        <w:rPr>
          <w:rFonts w:cs="Arial" w:ascii="Arial" w:hAnsi="Arial"/>
        </w:rPr>
        <w:t xml:space="preserve">h) O EPI deverá ter a comprovação e a certificação (Certificado de Aprovação - CA) do Ministério do Trabalho. </w:t>
      </w:r>
    </w:p>
    <w:p>
      <w:pPr>
        <w:pStyle w:val="Normal"/>
        <w:ind w:left="0" w:right="0" w:firstLine="1134"/>
        <w:jc w:val="both"/>
        <w:rPr>
          <w:rFonts w:ascii="Arial" w:hAnsi="Arial" w:cs="Arial"/>
        </w:rPr>
      </w:pPr>
      <w:r>
        <w:rPr>
          <w:rFonts w:cs="Arial" w:ascii="Arial" w:hAnsi="Arial"/>
        </w:rPr>
        <w:t xml:space="preserve">i) Não será permitido ao vigilantes da CONTRATADA prestar os serviços à CONTRATANTE sem estar devidamente uniformizado e com a identificação do crachá correspondente. </w:t>
      </w:r>
    </w:p>
    <w:p>
      <w:pPr>
        <w:pStyle w:val="Normal"/>
        <w:ind w:left="0" w:right="0" w:firstLine="1134"/>
        <w:jc w:val="both"/>
        <w:rPr>
          <w:rFonts w:ascii="Arial" w:hAnsi="Arial" w:cs="Arial"/>
        </w:rPr>
      </w:pPr>
      <w:r>
        <w:rPr>
          <w:rFonts w:cs="Arial" w:ascii="Arial" w:hAnsi="Arial"/>
        </w:rPr>
        <w:t xml:space="preserve"> </w:t>
      </w:r>
      <w:r>
        <w:rPr>
          <w:rFonts w:cs="Arial" w:ascii="Arial" w:hAnsi="Arial"/>
        </w:rPr>
        <w:t xml:space="preserve">j)Responsabilizar-se pela guarda do patrimônio da CONTRATANTE e transeuntes. </w:t>
      </w:r>
    </w:p>
    <w:p>
      <w:pPr>
        <w:pStyle w:val="Normal"/>
        <w:ind w:left="0" w:right="0" w:firstLine="1134"/>
        <w:jc w:val="both"/>
        <w:rPr>
          <w:rFonts w:ascii="Arial" w:hAnsi="Arial" w:cs="Arial"/>
        </w:rPr>
      </w:pPr>
      <w:r>
        <w:rPr>
          <w:rFonts w:cs="Arial" w:ascii="Arial" w:hAnsi="Arial"/>
        </w:rPr>
        <w:t xml:space="preserve">k) Observar conduta adequada na utilização dos equipamentos e dependências da CONTRATANTE. </w:t>
      </w:r>
    </w:p>
    <w:p>
      <w:pPr>
        <w:pStyle w:val="Normal"/>
        <w:ind w:left="0" w:right="0" w:firstLine="1134"/>
        <w:jc w:val="both"/>
        <w:rPr>
          <w:rFonts w:ascii="Arial" w:hAnsi="Arial" w:cs="Arial"/>
        </w:rPr>
      </w:pPr>
      <w:r>
        <w:rPr>
          <w:rFonts w:cs="Arial" w:ascii="Arial" w:hAnsi="Arial"/>
        </w:rPr>
        <w:t xml:space="preserve">l) Cumprir as obrigações assumidas no contrato; </w:t>
      </w:r>
    </w:p>
    <w:p>
      <w:pPr>
        <w:pStyle w:val="Normal"/>
        <w:ind w:left="0" w:right="0" w:firstLine="1134"/>
        <w:jc w:val="both"/>
        <w:rPr>
          <w:rFonts w:ascii="Arial" w:hAnsi="Arial" w:cs="Arial"/>
        </w:rPr>
      </w:pPr>
      <w:r>
        <w:rPr>
          <w:rFonts w:cs="Arial" w:ascii="Arial" w:hAnsi="Arial"/>
        </w:rPr>
        <w:t xml:space="preserve">m) Fornecer à Contratada todas as informações necessárias para o desenvolvimento dos serviços, esclarecendo eventuais dúvidas; </w:t>
      </w:r>
    </w:p>
    <w:p>
      <w:pPr>
        <w:pStyle w:val="Normal"/>
        <w:ind w:left="0" w:right="0" w:firstLine="1134"/>
        <w:jc w:val="both"/>
        <w:rPr>
          <w:rFonts w:ascii="Arial" w:hAnsi="Arial" w:cs="Arial"/>
        </w:rPr>
      </w:pPr>
      <w:r>
        <w:rPr>
          <w:rFonts w:cs="Arial" w:ascii="Arial" w:hAnsi="Arial"/>
        </w:rPr>
        <w:t xml:space="preserve">n)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serviços fornecidos;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r>
    </w:p>
    <w:p>
      <w:pPr>
        <w:pStyle w:val="Normal"/>
        <w:jc w:val="center"/>
        <w:rPr>
          <w:rFonts w:ascii="Arial" w:hAnsi="Arial" w:cs="Arial"/>
          <w:b/>
          <w:b/>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Dispensa por Limite</w:t>
      </w:r>
      <w:r>
        <w:rPr>
          <w:rFonts w:cs="Arial" w:ascii="Arial" w:hAnsi="Arial"/>
          <w:lang w:val="pt-BR" w:eastAsia="pt-BR"/>
        </w:rPr>
        <w:t xml:space="preserve"> nº53/2022</w:t>
      </w:r>
      <w:r>
        <w:rPr>
          <w:rFonts w:cs="Arial" w:ascii="Arial" w:hAnsi="Arial"/>
        </w:rPr>
        <w:t>, especificações complementares, além das normas e instruções legais vigentes no País, que lhe forem atinentes.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center"/>
        <w:rPr/>
      </w:pPr>
      <w:r>
        <w:rPr>
          <w:rFonts w:cs="Arial" w:ascii="Arial" w:hAnsi="Arial"/>
          <w:b/>
        </w:rPr>
        <w:t xml:space="preserve">CLÁUSULA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w:t>
      </w:r>
      <w:r>
        <w:rPr>
          <w:rFonts w:cs="Arial" w:ascii="Arial" w:hAnsi="Arial"/>
          <w:b/>
        </w:rPr>
        <w:t>CONTRATANTE</w:t>
      </w:r>
      <w:r>
        <w:rPr>
          <w:rFonts w:cs="Arial" w:ascii="Arial" w:hAnsi="Arial"/>
        </w:rPr>
        <w:t xml:space="preserve"> pagará a </w:t>
      </w:r>
      <w:r>
        <w:rPr>
          <w:rFonts w:cs="Arial" w:ascii="Arial" w:hAnsi="Arial"/>
          <w:b/>
        </w:rPr>
        <w:t>CONTRATADA</w:t>
      </w:r>
      <w:r>
        <w:rPr>
          <w:rFonts w:cs="Arial" w:ascii="Arial" w:hAnsi="Arial"/>
        </w:rPr>
        <w:t xml:space="preserve">, pelos serviços, o preço proposto que é </w:t>
      </w:r>
      <w:r>
        <w:rPr>
          <w:rFonts w:cs="Arial" w:ascii="Arial" w:hAnsi="Arial"/>
          <w:lang w:val="pt-BR" w:eastAsia="pt-BR"/>
        </w:rPr>
        <w:t>R$ 5.460,00(cinco mil quatrocentos e sessenta reais)</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4.3 - O pagamento será efetivado, após entrega do objeto licitado  e apresentação da Nota Fiscal, na Tesouraria da Secretaria de Finanças da </w:t>
      </w:r>
      <w:r>
        <w:rPr>
          <w:rFonts w:cs="Arial" w:ascii="Arial" w:hAnsi="Arial"/>
          <w:b/>
        </w:rPr>
        <w:t>CONTRATANTE</w:t>
      </w:r>
      <w:r>
        <w:rPr>
          <w:rFonts w:cs="Arial" w:ascii="Arial" w:hAnsi="Arial"/>
        </w:rPr>
        <w:t xml:space="preserve"> ou Ordem Bancária, no seguinte prazo: Até 20 dias após a prestação de serviços/entrega dos materiais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4.4 - </w:t>
      </w:r>
      <w:r>
        <w:rPr>
          <w:rFonts w:cs="Arial" w:ascii="Arial" w:hAnsi="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5 - O custo apresentado caracterizando o preço unitário e global para a execução dos serviços será reajustado de acordo com o seguinte critério: </w:t>
      </w:r>
      <w:r>
        <w:rPr>
          <w:rFonts w:cs="Arial" w:ascii="Arial" w:hAnsi="Arial"/>
          <w:lang w:val="pt-BR" w:eastAsia="pt-BR"/>
        </w:rPr>
        <w:t>SEM REAJUSTE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6.1 - O prazo de execução é de ATÉ 12/12/2022, e ter</w:t>
      </w:r>
      <w:r>
        <w:rPr>
          <w:rFonts w:cs="Arial" w:ascii="Arial" w:hAnsi="Arial"/>
        </w:rPr>
        <w:t>á vigência da assinatura até  30/12/22,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6.2 - O início deve se dar em 5 (cinco) dias a partir da emissão da Ordem de Serviço.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6.3 - Na contagem dos prazos, excluir-se-á o dia do início e in</w:t>
      </w:r>
      <w:r>
        <w:rPr>
          <w:rFonts w:cs="Arial" w:ascii="Arial" w:hAnsi="Arial"/>
        </w:rPr>
        <w:t>cluir-se-á o do vencimento.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3</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 xml:space="preserve">MANUTENÇÃO DAS ATIVIDADES DA SECRETARIA </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339039990000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5.460,00</w:t>
            </w:r>
          </w:p>
        </w:tc>
      </w:tr>
    </w:tbl>
    <w:p>
      <w:pPr>
        <w:pStyle w:val="Normal"/>
        <w:ind w:left="0" w:right="0" w:firstLine="113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rFonts w:ascii="Arial" w:hAnsi="Arial" w:cs="Arial"/>
        </w:rPr>
      </w:pPr>
      <w:r>
        <w:rPr>
          <w:rFonts w:cs="Arial" w:ascii="Arial" w:hAnsi="Arial"/>
        </w:rPr>
      </w:r>
    </w:p>
    <w:p>
      <w:pPr>
        <w:pStyle w:val="Normal"/>
        <w:ind w:left="0" w:right="0" w:firstLine="1134"/>
        <w:jc w:val="both"/>
        <w:rPr/>
      </w:pPr>
      <w:r>
        <w:rPr>
          <w:rFonts w:cs="Arial" w:ascii="Arial" w:hAnsi="Arial"/>
        </w:rPr>
        <w:t>8.1 - O material somente será considerado devidamente acei</w:t>
      </w:r>
      <w:r>
        <w:rPr>
          <w:rFonts w:cs="Arial" w:ascii="Arial" w:hAnsi="Arial"/>
        </w:rPr>
        <w:t xml:space="preserve">to após analisado e aprovado pelo Secretário Municipal </w:t>
      </w:r>
      <w:r>
        <w:rPr>
          <w:rFonts w:cs="Arial" w:ascii="Arial" w:hAnsi="Arial"/>
        </w:rPr>
        <w:t>Sr. Oldair Natal Citadella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8.2 - No  caso de não aceitação do material pela </w:t>
      </w:r>
      <w:r>
        <w:rPr>
          <w:rFonts w:cs="Arial" w:ascii="Arial" w:hAnsi="Arial"/>
          <w:b/>
        </w:rPr>
        <w:t>CONTRATANTE</w:t>
      </w:r>
      <w:r>
        <w:rPr>
          <w:rFonts w:cs="Arial" w:ascii="Arial" w:hAnsi="Arial"/>
        </w:rPr>
        <w:t xml:space="preserve">, a </w:t>
      </w:r>
      <w:r>
        <w:rPr>
          <w:rFonts w:cs="Arial" w:ascii="Arial" w:hAnsi="Arial"/>
          <w:b/>
        </w:rPr>
        <w:t>CONTRATADA</w:t>
      </w:r>
      <w:r>
        <w:rPr>
          <w:rFonts w:cs="Arial" w:ascii="Arial" w:hAnsi="Arial"/>
        </w:rPr>
        <w:t xml:space="preserve"> deverá providenciar, sem ônus para a </w:t>
      </w:r>
      <w:r>
        <w:rPr>
          <w:rFonts w:cs="Arial" w:ascii="Arial" w:hAnsi="Arial"/>
          <w:b/>
        </w:rPr>
        <w:t>CONTRATANTE</w:t>
      </w:r>
      <w:r>
        <w:rPr>
          <w:rFonts w:cs="Arial" w:ascii="Arial" w:hAnsi="Arial"/>
        </w:rPr>
        <w:t xml:space="preserve">, a substituição dos materiais no prazo máximo de 15 (quinze) dias corridos, contados da notificação recebida. </w:t>
      </w:r>
    </w:p>
    <w:p>
      <w:pPr>
        <w:pStyle w:val="Normal"/>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8.3 - A </w:t>
      </w:r>
      <w:r>
        <w:rPr>
          <w:rFonts w:cs="Arial" w:ascii="Arial" w:hAnsi="Arial"/>
          <w:b/>
        </w:rPr>
        <w:t>CONTRATADA</w:t>
      </w:r>
      <w:r>
        <w:rPr>
          <w:rFonts w:cs="Arial" w:ascii="Arial" w:hAnsi="Arial"/>
        </w:rPr>
        <w:t xml:space="preserve"> deverá manter preposto, aceito pela </w:t>
      </w:r>
      <w:r>
        <w:rPr>
          <w:rFonts w:cs="Arial" w:ascii="Arial" w:hAnsi="Arial"/>
          <w:b/>
        </w:rPr>
        <w:t>CONTRATANTE</w:t>
      </w:r>
      <w:r>
        <w:rPr>
          <w:rFonts w:cs="Arial" w:ascii="Arial" w:hAnsi="Arial"/>
        </w:rPr>
        <w:t>, no local da obra ou serviço, para representá-la na execução deste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8.4 - A </w:t>
      </w:r>
      <w:r>
        <w:rPr>
          <w:rFonts w:cs="Arial" w:ascii="Arial" w:hAnsi="Arial"/>
          <w:b/>
        </w:rPr>
        <w:t>CONTRATADA</w:t>
      </w:r>
      <w:r>
        <w:rPr>
          <w:rFonts w:cs="Arial" w:ascii="Arial" w:hAnsi="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8.5 - A </w:t>
      </w:r>
      <w:r>
        <w:rPr>
          <w:rFonts w:cs="Arial" w:ascii="Arial" w:hAnsi="Arial"/>
          <w:b/>
        </w:rPr>
        <w:t>CONTRATADA</w:t>
      </w:r>
      <w:r>
        <w:rPr>
          <w:rFonts w:cs="Arial" w:ascii="Arial" w:hAnsi="Arial"/>
        </w:rPr>
        <w:t xml:space="preserve"> é responsável pelos danos causados diretamente à </w:t>
      </w:r>
      <w:r>
        <w:rPr>
          <w:rFonts w:cs="Arial" w:ascii="Arial" w:hAnsi="Arial"/>
          <w:b/>
        </w:rPr>
        <w:t>CONTRATANTE</w:t>
      </w:r>
      <w:r>
        <w:rPr>
          <w:rFonts w:cs="Arial" w:ascii="Arial" w:hAnsi="Arial"/>
        </w:rPr>
        <w:t xml:space="preserve"> ou a terceiros, decorrentes de sua culpa ou dolo na responsabilidade a fiscalização ou o acompanhamento pelo órgão interessado.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9.1.2 - Por acordo das partes: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conveniente a substituição da garantia de execução;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t>CLÁUSULA DÉCIMA TERCEIRA - DO SEGURO E RES</w:t>
      </w:r>
      <w:r>
        <w:rPr>
          <w:rFonts w:cs="Arial" w:ascii="Arial" w:hAnsi="Arial"/>
          <w:b/>
        </w:rPr>
        <w:t>P</w:t>
      </w:r>
      <w:r>
        <w:rPr>
          <w:rFonts w:cs="Arial" w:ascii="Arial" w:hAnsi="Arial"/>
          <w:b/>
        </w:rPr>
        <w:t xml:space="preserve">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rFonts w:ascii="Arial" w:hAnsi="Arial" w:cs="Arial"/>
        </w:rPr>
      </w:pP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20 de outubro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DIELSON ROSA</w:t>
      </w:r>
    </w:p>
    <w:p>
      <w:pPr>
        <w:pStyle w:val="Normal"/>
        <w:jc w:val="center"/>
        <w:rPr>
          <w:rFonts w:ascii="Arial" w:hAnsi="Arial" w:cs="Arial"/>
        </w:rPr>
      </w:pPr>
      <w:r>
        <w:rPr>
          <w:rFonts w:cs="Arial" w:ascii="Arial" w:hAnsi="Arial"/>
        </w:rPr>
        <w:t>REPRESENTANTE LEGAL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38671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8671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30.45pt;height:8.45pt;mso-wrap-distance-left:0pt;mso-wrap-distance-right:0pt;mso-wrap-distance-top:0pt;mso-wrap-distance-bottom:0pt;margin-top:0.05pt;mso-position-vertical-relative:text;margin-left:230.4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10</Pages>
  <Words>3804</Words>
  <Characters>21618</Characters>
  <CharactersWithSpaces>25416</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2022-10-20T09:44:09Z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