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Nº162/2022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Pregão PARA REGISTRO DE PREÇOS  Nº 66/2022.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  <w:szCs w:val="22"/>
        </w:rPr>
        <w:t>Às 08:30 horas do dia 27 de dezembro de 2022, reuniu-se a Pregoeira Municipal,</w:t>
      </w:r>
      <w:r>
        <w:rPr>
          <w:rFonts w:cs="Arial" w:ascii="Arial" w:hAnsi="Arial"/>
          <w:sz w:val="22"/>
          <w:szCs w:val="22"/>
        </w:rPr>
        <w:t xml:space="preserve"> Sra. </w:t>
      </w:r>
      <w:r>
        <w:rPr>
          <w:rFonts w:eastAsia="Times New Roman" w:cs="Arial" w:ascii="Arial" w:hAnsi="Arial"/>
          <w:color w:val="000000"/>
          <w:sz w:val="22"/>
          <w:szCs w:val="22"/>
          <w:lang w:val="pt-BR" w:bidi="ar-SA"/>
        </w:rPr>
        <w:t>JOCIANE MARIA ZUCCO</w:t>
      </w:r>
      <w:r>
        <w:rPr>
          <w:rFonts w:cs="Arial" w:ascii="Arial" w:hAnsi="Arial"/>
          <w:sz w:val="22"/>
          <w:szCs w:val="22"/>
        </w:rPr>
        <w:t xml:space="preserve">, juntamente com sua Equipe de Apoio formada pelos integrantes: </w:t>
      </w:r>
      <w:r>
        <w:rPr>
          <w:rFonts w:cs="Arial" w:ascii="Arial" w:hAnsi="Arial"/>
          <w:sz w:val="22"/>
          <w:szCs w:val="22"/>
        </w:rPr>
        <w:t>NEILA MARIA ZUCCO</w:t>
      </w:r>
      <w:r>
        <w:rPr>
          <w:rFonts w:cs="Arial" w:ascii="Arial" w:hAnsi="Arial"/>
          <w:sz w:val="22"/>
          <w:szCs w:val="22"/>
        </w:rPr>
        <w:t xml:space="preserve"> ,</w:t>
      </w:r>
      <w:r>
        <w:rPr>
          <w:rFonts w:cs="Arial" w:ascii="Arial" w:hAnsi="Arial"/>
          <w:sz w:val="22"/>
          <w:szCs w:val="22"/>
        </w:rPr>
        <w:t>DIONEI DA ROSA</w:t>
      </w:r>
      <w:r>
        <w:rPr>
          <w:rFonts w:cs="Arial" w:ascii="Arial" w:hAnsi="Arial"/>
          <w:sz w:val="22"/>
          <w:szCs w:val="22"/>
        </w:rPr>
        <w:t xml:space="preserve"> e KÁTIA REGINA TESSARO CASSOL no(a) Prefeitura de </w:t>
      </w:r>
      <w:r>
        <w:rPr>
          <w:rFonts w:cs="Arial" w:ascii="Arial" w:hAnsi="Arial"/>
          <w:sz w:val="22"/>
          <w:szCs w:val="22"/>
        </w:rPr>
        <w:t>Águas Frias, para análise e julgamento de propostas referentes ao Processo Nº 162/2022 na modalidade Pregão  nº 66/2022, Tipo Menor preço - Unitário, para  Aquisição de Equipamentos, Ferramentas e Materiais de Higiene para equipar a oficina mecânica instalada na garagem municipal de Águas Frias para a realização da manutenção da frota dos veículos e máquinas..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Findas as etapas do presente pregão, a Pregoeira adjudicou os itens as empresas vencedoras, conforme tabela a seguir: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1490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560"/>
        <w:gridCol w:w="1305"/>
        <w:gridCol w:w="2105"/>
        <w:gridCol w:w="747"/>
        <w:gridCol w:w="567"/>
        <w:gridCol w:w="1379"/>
        <w:gridCol w:w="1129"/>
        <w:gridCol w:w="1417"/>
        <w:gridCol w:w="1146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Objeto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490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560"/>
        <w:gridCol w:w="1305"/>
        <w:gridCol w:w="2265"/>
        <w:gridCol w:w="549"/>
        <w:gridCol w:w="567"/>
        <w:gridCol w:w="1418"/>
        <w:gridCol w:w="1128"/>
        <w:gridCol w:w="1417"/>
        <w:gridCol w:w="1146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LIXADEIRA ESMERILHADEIRA ANGULAR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de 4 1/2 Pol. (114mm), potência de no mínima 1700W. Com duas Baterias 20V/60V 5.0 Ah. Rotação de 9.000 RPM. Sistema de embreagem eletrônica de desligamento automático quando é detectado um bloqueio. Motor sem escovas. Freio de segurança para a roda rapidamente quando o gatilho é liberado. Filtro extraível ajuda a bloquear a entrada de pó durante o uso e são podem ser retirados para limpeza. Interruptor liga/desliga com 2 modos requer 2 ações para ligar a ferramenta. Incluso: 1 und - Esmerilhadeira, 2 und - Bateria 5AH, 1 und - Carregador Rápido Bivolt, 1 und - Bolsa Para Transporte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DEWALT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2.180,00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4.360,00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COMÉRCIO DE MÁQUINAS E MATERIAIS PEREIRA LTDA - COMAPE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MACACO HIDRÁULICO 1 TON</w:t>
            </w: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para caixa de transmissão de veículos pesados e extrapesados. Capacidade: 1000 Kg. Massa aproximada (peso) 129,20 kg, Garantia - Capacidade de carga (kgf) 1.000 kgf, Altura mínima (mm) 307 mm, Altura máxima (mm) 845 mm.  Com uma bandeja giratória grande (500 x 500 mm) com laterais móveis e removíveis. Mecanismo para ajuste de inclinação longitudinal da bandeja (para frente e para trás do macaco) em até 15°. Mecanismo para ajuste de inclinação transversal da bandeja (para a esquerda e para a direita do macaco) em até 15°.  Trava de segurança (para limitar eventual descida acidental da bandeja) </w:t>
            </w:r>
          </w:p>
        </w:tc>
        <w:tc>
          <w:tcPr>
            <w:tcW w:w="5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RAVEN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4.670,00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9.340,00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COMÉRCIO DE MÁQUINAS E MATERIAIS PEREIRA LTDA - COMAPE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JOGO DE CABOS- KIT DIESEL PESADO E LEVE</w:t>
            </w: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é um conjunto de cabos adaptadores e cartões para habilitação de licenças, para utilização do Scanner 3 em utilitários a diesel, caminhões e ônibus. Composto por:  01 Cartão para habilitação da licença de utilização em utilitários a diesel (Diesel Leve), 01 Cartão para habilitação da licença de utilização em caminhões e ônibus (Diesel Pesado),  01 Cabo adaptador padrão Volvo c/ 8 pinos 01 Cabo adaptador padrão Volvo c/ 9 pinos,  01 Cabo adaptador padrão International c/ 6 pinos, 01 Cabo adaptador padrão Ford c/ 9 pinos 01 Cabo adaptador padrão Mercedes-Benz c/14 pinos, 01 Cabo adaptador padr </w:t>
            </w:r>
          </w:p>
        </w:tc>
        <w:tc>
          <w:tcPr>
            <w:tcW w:w="5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RAVEN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3.950,00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3.950,00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COMÉRCIO DE MÁQUINAS E MATERIAIS PEREIRA LTDA - COMAPE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DESCARBONIZANTE SPRAY 300 ML</w:t>
            </w: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PROTEG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15,80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474,00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COMÉRCIO DE MÁQUINAS E MATERIAIS PEREIRA LTDA - COMAPE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CREME DESENGRAXANTE </w:t>
            </w: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com esfoliante para limpeza das mãos, quantidade de no mínimo 2 kg. Embalagem tipo pote plástico com tampa. </w:t>
            </w:r>
          </w:p>
        </w:tc>
        <w:tc>
          <w:tcPr>
            <w:tcW w:w="5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GITANE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COMÉRCIO DE MÁQUINAS E MATERIAIS PEREIRA LTDA - COMAPE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/>
        <w:t>Valor os seguintes Totais por Empresa:</w:t>
      </w:r>
    </w:p>
    <w:tbl>
      <w:tblPr>
        <w:tblW w:w="929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667"/>
        <w:gridCol w:w="4535"/>
      </w:tblGrid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COMÉRCIO DE MÁQUINAS E MATERIAIS PEREIRA LTDA - COMAPE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18.784,00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dezoito mil setecentos e oitenta e quatro reais</w:t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>
          <w:trHeight w:val="289" w:hRule="atLeast"/>
        </w:trPr>
        <w:tc>
          <w:tcPr>
            <w:tcW w:w="4643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644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 –SC, 27 de dezembro de 2022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 E EQUIPE DE APOIO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JOCIANE MARIA ZUCCO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NEILA MARIA ZUCCO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DIONEI9 DA ROSA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KÁTIA REGINA TESSARO CASSOL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tabs>
          <w:tab w:val="clear" w:pos="708"/>
          <w:tab w:val="left" w:pos="2736" w:leader="none"/>
        </w:tabs>
        <w:jc w:val="center"/>
        <w:rPr>
          <w:rFonts w:ascii="Arial" w:hAnsi="Arial" w:cs="Arial"/>
          <w:b/>
          <w:b/>
          <w:sz w:val="28"/>
          <w:u w:val="single"/>
          <w:lang w:val="es-ES_tradnl"/>
        </w:rPr>
      </w:pPr>
      <w:r>
        <w:rPr>
          <w:rFonts w:cs="Arial" w:ascii="Arial" w:hAnsi="Arial"/>
          <w:b/>
          <w:sz w:val="28"/>
          <w:u w:val="single"/>
          <w:lang w:val="es-ES_tradn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134" w:footer="72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MUNICÍPIO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1872" w:leader="none"/>
      </w:tabs>
      <w:jc w:val="center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3</Pages>
  <Words>728</Words>
  <Characters>3881</Characters>
  <CharactersWithSpaces>4566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2022-05-24T16:38:00Z</dcterms:created>
  <dc:creator>a</dc:creator>
  <dc:description/>
  <cp:keywords/>
  <dc:language>pt-BR</dc:language>
  <cp:lastModifiedBy/>
  <cp:lastPrinted>2022-12-27T09:12:16Z</cp:lastPrinted>
  <dcterms:modified xsi:type="dcterms:W3CDTF">2022-12-27T09:13:42Z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