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F1" w:rsidRDefault="001270F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70F1" w:rsidRDefault="001270F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06AF" w:rsidRPr="001270F1" w:rsidRDefault="001270F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CONTRAT</w:t>
      </w:r>
      <w:r w:rsidRPr="001270F1">
        <w:rPr>
          <w:rFonts w:ascii="Arial" w:hAnsi="Arial" w:cs="Arial"/>
          <w:b/>
          <w:sz w:val="24"/>
          <w:szCs w:val="24"/>
          <w:u w:val="single"/>
        </w:rPr>
        <w:t>O Nº44/2023</w:t>
      </w:r>
    </w:p>
    <w:p w:rsidR="00C906AF" w:rsidRPr="001270F1" w:rsidRDefault="00C906AF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06AF" w:rsidRPr="001270F1" w:rsidRDefault="00C906AF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06AF" w:rsidRPr="001270F1" w:rsidRDefault="001270F1">
      <w:pPr>
        <w:ind w:right="-603"/>
        <w:jc w:val="center"/>
        <w:rPr>
          <w:rFonts w:ascii="Arial" w:hAnsi="Arial" w:cs="Arial"/>
          <w:sz w:val="24"/>
          <w:szCs w:val="24"/>
        </w:rPr>
      </w:pPr>
      <w:r w:rsidRPr="001270F1">
        <w:rPr>
          <w:rFonts w:ascii="Arial" w:eastAsia="Arial" w:hAnsi="Arial" w:cs="Arial"/>
          <w:b/>
          <w:sz w:val="24"/>
          <w:szCs w:val="24"/>
          <w:u w:val="single"/>
        </w:rPr>
        <w:t xml:space="preserve"> SEGUNDO</w:t>
      </w:r>
      <w:r w:rsidR="00002271" w:rsidRPr="001270F1">
        <w:rPr>
          <w:rFonts w:ascii="Arial" w:hAnsi="Arial" w:cs="Arial"/>
          <w:b/>
          <w:sz w:val="24"/>
          <w:szCs w:val="24"/>
          <w:u w:val="single"/>
        </w:rPr>
        <w:t xml:space="preserve">TERMO ADITIVO DE CONTRATO </w:t>
      </w:r>
    </w:p>
    <w:p w:rsidR="00C906AF" w:rsidRDefault="00C906AF">
      <w:pPr>
        <w:ind w:right="-603"/>
        <w:jc w:val="both"/>
        <w:rPr>
          <w:rFonts w:ascii="Arial" w:hAnsi="Arial" w:cs="Arial"/>
          <w:sz w:val="24"/>
          <w:szCs w:val="24"/>
        </w:rPr>
      </w:pPr>
    </w:p>
    <w:p w:rsidR="001270F1" w:rsidRPr="001270F1" w:rsidRDefault="001270F1">
      <w:pPr>
        <w:ind w:right="-603"/>
        <w:jc w:val="both"/>
        <w:rPr>
          <w:rFonts w:ascii="Arial" w:hAnsi="Arial" w:cs="Arial"/>
          <w:sz w:val="24"/>
          <w:szCs w:val="24"/>
        </w:rPr>
      </w:pPr>
    </w:p>
    <w:p w:rsidR="00C906AF" w:rsidRPr="001270F1" w:rsidRDefault="00002271">
      <w:pPr>
        <w:ind w:right="-603"/>
        <w:jc w:val="both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>CONTRATO Nº 70/2022 DATA: 06/06/22</w:t>
      </w:r>
    </w:p>
    <w:p w:rsidR="00C906AF" w:rsidRDefault="00002271">
      <w:pPr>
        <w:ind w:right="-603"/>
        <w:jc w:val="both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ab/>
      </w:r>
    </w:p>
    <w:p w:rsidR="001270F1" w:rsidRPr="001270F1" w:rsidRDefault="001270F1">
      <w:pPr>
        <w:ind w:right="-603"/>
        <w:jc w:val="both"/>
        <w:rPr>
          <w:rFonts w:ascii="Arial" w:hAnsi="Arial" w:cs="Arial"/>
          <w:sz w:val="24"/>
          <w:szCs w:val="24"/>
        </w:rPr>
      </w:pPr>
    </w:p>
    <w:p w:rsidR="00C906AF" w:rsidRPr="001270F1" w:rsidRDefault="00002271">
      <w:pPr>
        <w:jc w:val="both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 xml:space="preserve"> PARTES: </w:t>
      </w:r>
      <w:r w:rsidRPr="001270F1">
        <w:rPr>
          <w:rFonts w:ascii="Arial" w:hAnsi="Arial" w:cs="Arial"/>
          <w:b/>
          <w:sz w:val="24"/>
          <w:szCs w:val="24"/>
          <w:lang w:eastAsia="pt-BR"/>
        </w:rPr>
        <w:t>MUNICÍPIO DE ÁGUAS FRIAS</w:t>
      </w:r>
      <w:r w:rsidRPr="001270F1">
        <w:rPr>
          <w:rFonts w:ascii="Arial" w:hAnsi="Arial" w:cs="Arial"/>
          <w:sz w:val="24"/>
          <w:szCs w:val="24"/>
        </w:rPr>
        <w:t xml:space="preserve">, </w:t>
      </w:r>
      <w:r w:rsidRPr="001270F1">
        <w:rPr>
          <w:rFonts w:ascii="Arial" w:hAnsi="Arial" w:cs="Arial"/>
          <w:sz w:val="24"/>
          <w:szCs w:val="24"/>
          <w:lang w:eastAsia="pt-BR"/>
        </w:rPr>
        <w:t>Estado de Santa Catarina</w:t>
      </w:r>
      <w:r w:rsidRPr="001270F1">
        <w:rPr>
          <w:rFonts w:ascii="Arial" w:hAnsi="Arial" w:cs="Arial"/>
          <w:sz w:val="24"/>
          <w:szCs w:val="24"/>
        </w:rPr>
        <w:t xml:space="preserve">, com endereço na(o) </w:t>
      </w:r>
      <w:r w:rsidRPr="001270F1">
        <w:rPr>
          <w:rFonts w:ascii="Arial" w:hAnsi="Arial" w:cs="Arial"/>
          <w:sz w:val="24"/>
          <w:szCs w:val="24"/>
          <w:lang w:eastAsia="pt-BR"/>
        </w:rPr>
        <w:t>Rua Sete de Setembro</w:t>
      </w:r>
      <w:r w:rsidRPr="001270F1">
        <w:rPr>
          <w:rFonts w:ascii="Arial" w:hAnsi="Arial" w:cs="Arial"/>
          <w:sz w:val="24"/>
          <w:szCs w:val="24"/>
        </w:rPr>
        <w:t xml:space="preserve">, inscrita no CGC/MF sob o nº </w:t>
      </w:r>
      <w:r w:rsidRPr="001270F1">
        <w:rPr>
          <w:rFonts w:ascii="Arial" w:hAnsi="Arial" w:cs="Arial"/>
          <w:sz w:val="24"/>
          <w:szCs w:val="24"/>
          <w:lang w:eastAsia="pt-BR"/>
        </w:rPr>
        <w:t>95.990.180/0001-02</w:t>
      </w:r>
      <w:r w:rsidRPr="001270F1">
        <w:rPr>
          <w:rFonts w:ascii="Arial" w:hAnsi="Arial" w:cs="Arial"/>
          <w:sz w:val="24"/>
          <w:szCs w:val="24"/>
        </w:rPr>
        <w:t xml:space="preserve">, neste ato representada por seu </w:t>
      </w:r>
      <w:r w:rsidR="001270F1" w:rsidRPr="001270F1">
        <w:rPr>
          <w:rFonts w:ascii="Arial" w:hAnsi="Arial" w:cs="Arial"/>
          <w:sz w:val="24"/>
          <w:szCs w:val="24"/>
          <w:lang w:eastAsia="pt-BR"/>
        </w:rPr>
        <w:t>Prefeito</w:t>
      </w:r>
      <w:r w:rsidRPr="001270F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270F1">
        <w:rPr>
          <w:rFonts w:ascii="Arial" w:hAnsi="Arial" w:cs="Arial"/>
          <w:sz w:val="24"/>
          <w:szCs w:val="24"/>
        </w:rPr>
        <w:t xml:space="preserve">Senhor  </w:t>
      </w:r>
      <w:r w:rsidRPr="001270F1">
        <w:rPr>
          <w:rFonts w:ascii="Arial" w:hAnsi="Arial" w:cs="Arial"/>
          <w:sz w:val="24"/>
          <w:szCs w:val="24"/>
          <w:lang w:eastAsia="pt-BR"/>
        </w:rPr>
        <w:t>LUIZ</w:t>
      </w:r>
      <w:proofErr w:type="gramEnd"/>
      <w:r w:rsidRPr="001270F1">
        <w:rPr>
          <w:rFonts w:ascii="Arial" w:hAnsi="Arial" w:cs="Arial"/>
          <w:sz w:val="24"/>
          <w:szCs w:val="24"/>
          <w:lang w:eastAsia="pt-BR"/>
        </w:rPr>
        <w:t xml:space="preserve"> JOSÉ DAGA</w:t>
      </w:r>
      <w:r w:rsidRPr="001270F1">
        <w:rPr>
          <w:rFonts w:ascii="Arial" w:hAnsi="Arial" w:cs="Arial"/>
          <w:sz w:val="24"/>
          <w:szCs w:val="24"/>
        </w:rPr>
        <w:t xml:space="preserve">, doravante denominada simplesmente de </w:t>
      </w:r>
      <w:r w:rsidRPr="001270F1">
        <w:rPr>
          <w:rFonts w:ascii="Arial" w:hAnsi="Arial" w:cs="Arial"/>
          <w:b/>
          <w:sz w:val="24"/>
          <w:szCs w:val="24"/>
        </w:rPr>
        <w:t>CONTRATANTE</w:t>
      </w:r>
      <w:r w:rsidRPr="001270F1">
        <w:rPr>
          <w:rFonts w:ascii="Arial" w:hAnsi="Arial" w:cs="Arial"/>
          <w:sz w:val="24"/>
          <w:szCs w:val="24"/>
        </w:rPr>
        <w:t xml:space="preserve"> e a Empresa </w:t>
      </w:r>
      <w:r w:rsidRPr="001270F1">
        <w:rPr>
          <w:rFonts w:ascii="Arial" w:hAnsi="Arial" w:cs="Arial"/>
          <w:b/>
          <w:sz w:val="24"/>
          <w:szCs w:val="24"/>
        </w:rPr>
        <w:t xml:space="preserve">PALOMA CONSTRUÇÕES </w:t>
      </w:r>
      <w:r w:rsidR="003064DC">
        <w:rPr>
          <w:rFonts w:ascii="Arial" w:hAnsi="Arial" w:cs="Arial"/>
          <w:b/>
          <w:sz w:val="24"/>
          <w:szCs w:val="24"/>
        </w:rPr>
        <w:t>LTDA</w:t>
      </w:r>
      <w:r w:rsidRPr="001270F1">
        <w:rPr>
          <w:rFonts w:ascii="Arial" w:hAnsi="Arial" w:cs="Arial"/>
          <w:sz w:val="24"/>
          <w:szCs w:val="24"/>
        </w:rPr>
        <w:t>, com s</w:t>
      </w:r>
      <w:bookmarkStart w:id="0" w:name="_GoBack"/>
      <w:r w:rsidRPr="001270F1">
        <w:rPr>
          <w:rFonts w:ascii="Arial" w:hAnsi="Arial" w:cs="Arial"/>
          <w:sz w:val="24"/>
          <w:szCs w:val="24"/>
        </w:rPr>
        <w:t>e</w:t>
      </w:r>
      <w:bookmarkEnd w:id="0"/>
      <w:r w:rsidRPr="001270F1">
        <w:rPr>
          <w:rFonts w:ascii="Arial" w:hAnsi="Arial" w:cs="Arial"/>
          <w:sz w:val="24"/>
          <w:szCs w:val="24"/>
        </w:rPr>
        <w:t>de na(o)</w:t>
      </w:r>
      <w:r w:rsidRPr="001270F1">
        <w:rPr>
          <w:rFonts w:ascii="Arial" w:hAnsi="Arial" w:cs="Arial"/>
          <w:sz w:val="24"/>
          <w:szCs w:val="24"/>
          <w:lang w:eastAsia="pt-BR"/>
        </w:rPr>
        <w:t xml:space="preserve"> Avenida Nereu Ramos </w:t>
      </w:r>
      <w:r w:rsidRPr="001270F1">
        <w:rPr>
          <w:rFonts w:ascii="Arial" w:hAnsi="Arial" w:cs="Arial"/>
          <w:sz w:val="24"/>
          <w:szCs w:val="24"/>
        </w:rPr>
        <w:t xml:space="preserve">, Passo dos Fortes, CHAPECÓ inscrita no CNPJ/MF sob o nº. </w:t>
      </w:r>
      <w:r w:rsidRPr="001270F1">
        <w:rPr>
          <w:rFonts w:ascii="Arial" w:hAnsi="Arial" w:cs="Arial"/>
          <w:sz w:val="24"/>
          <w:szCs w:val="24"/>
          <w:lang w:eastAsia="pt-BR"/>
        </w:rPr>
        <w:t xml:space="preserve"> 09.656.330/0001-04</w:t>
      </w:r>
      <w:r w:rsidRPr="001270F1">
        <w:rPr>
          <w:rFonts w:ascii="Arial" w:hAnsi="Arial" w:cs="Arial"/>
          <w:sz w:val="24"/>
          <w:szCs w:val="24"/>
        </w:rPr>
        <w:t>neste ato representada por seu (</w:t>
      </w:r>
      <w:proofErr w:type="spellStart"/>
      <w:r w:rsidRPr="001270F1">
        <w:rPr>
          <w:rFonts w:ascii="Arial" w:hAnsi="Arial" w:cs="Arial"/>
          <w:sz w:val="24"/>
          <w:szCs w:val="24"/>
        </w:rPr>
        <w:t>ua</w:t>
      </w:r>
      <w:proofErr w:type="spellEnd"/>
      <w:r w:rsidRPr="001270F1">
        <w:rPr>
          <w:rFonts w:ascii="Arial" w:hAnsi="Arial" w:cs="Arial"/>
          <w:sz w:val="24"/>
          <w:szCs w:val="24"/>
        </w:rPr>
        <w:t>) representante legal Senhor(</w:t>
      </w:r>
      <w:proofErr w:type="gramStart"/>
      <w:r w:rsidRPr="001270F1">
        <w:rPr>
          <w:rFonts w:ascii="Arial" w:hAnsi="Arial" w:cs="Arial"/>
          <w:sz w:val="24"/>
          <w:szCs w:val="24"/>
        </w:rPr>
        <w:t>a)  JOELMA</w:t>
      </w:r>
      <w:proofErr w:type="gramEnd"/>
      <w:r w:rsidRPr="001270F1">
        <w:rPr>
          <w:rFonts w:ascii="Arial" w:hAnsi="Arial" w:cs="Arial"/>
          <w:sz w:val="24"/>
          <w:szCs w:val="24"/>
        </w:rPr>
        <w:t xml:space="preserve"> MORETO, doravante denominada simplesmente de </w:t>
      </w:r>
      <w:r w:rsidRPr="001270F1">
        <w:rPr>
          <w:rFonts w:ascii="Arial" w:hAnsi="Arial" w:cs="Arial"/>
          <w:b/>
          <w:sz w:val="24"/>
          <w:szCs w:val="24"/>
        </w:rPr>
        <w:t>CONTRATADA</w:t>
      </w:r>
      <w:r w:rsidRPr="001270F1">
        <w:rPr>
          <w:rFonts w:ascii="Arial" w:hAnsi="Arial" w:cs="Arial"/>
          <w:sz w:val="24"/>
          <w:szCs w:val="24"/>
        </w:rPr>
        <w:t>, em decorrência do Processo de Licitação Nº55/2.022, na modalidade  Concorrência</w:t>
      </w:r>
      <w:r w:rsidRPr="001270F1">
        <w:rPr>
          <w:rFonts w:ascii="Arial" w:hAnsi="Arial" w:cs="Arial"/>
          <w:sz w:val="24"/>
          <w:szCs w:val="24"/>
          <w:lang w:eastAsia="pt-BR"/>
        </w:rPr>
        <w:t>Nº2/2.022</w:t>
      </w:r>
      <w:r w:rsidRPr="001270F1">
        <w:rPr>
          <w:rFonts w:ascii="Arial" w:hAnsi="Arial" w:cs="Arial"/>
          <w:sz w:val="24"/>
          <w:szCs w:val="24"/>
        </w:rPr>
        <w:t>, homologado  em</w:t>
      </w:r>
      <w:r w:rsidRPr="001270F1">
        <w:rPr>
          <w:rFonts w:ascii="Arial" w:hAnsi="Arial" w:cs="Arial"/>
          <w:sz w:val="24"/>
          <w:szCs w:val="24"/>
          <w:lang w:eastAsia="pt-BR"/>
        </w:rPr>
        <w:t xml:space="preserve"> 03/06/2022</w:t>
      </w:r>
      <w:r w:rsidRPr="001270F1">
        <w:rPr>
          <w:rFonts w:ascii="Arial" w:hAnsi="Arial" w:cs="Arial"/>
          <w:sz w:val="24"/>
          <w:szCs w:val="24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906AF" w:rsidRPr="001270F1" w:rsidRDefault="00C906AF">
      <w:pPr>
        <w:jc w:val="both"/>
        <w:rPr>
          <w:rFonts w:ascii="Arial" w:hAnsi="Arial" w:cs="Arial"/>
          <w:b/>
          <w:sz w:val="24"/>
          <w:szCs w:val="24"/>
        </w:rPr>
      </w:pPr>
    </w:p>
    <w:p w:rsidR="001270F1" w:rsidRDefault="00002271">
      <w:pPr>
        <w:jc w:val="both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>Cláusula Primeira: Fica aditivado o valor global constante na cláusula quinta do Contrato nº70/2022 em R$ 197.822,</w:t>
      </w:r>
      <w:proofErr w:type="gramStart"/>
      <w:r w:rsidRPr="001270F1">
        <w:rPr>
          <w:rFonts w:ascii="Arial" w:hAnsi="Arial" w:cs="Arial"/>
          <w:sz w:val="24"/>
          <w:szCs w:val="24"/>
        </w:rPr>
        <w:t>73  (</w:t>
      </w:r>
      <w:proofErr w:type="gramEnd"/>
      <w:r w:rsidRPr="001270F1">
        <w:rPr>
          <w:rFonts w:ascii="Arial" w:hAnsi="Arial" w:cs="Arial"/>
          <w:sz w:val="24"/>
          <w:szCs w:val="24"/>
        </w:rPr>
        <w:t xml:space="preserve">cento e noventa e sete mil, oitocentos e vinte e dois reais e setenta e três centavos), em conformidade com as planilhas e justificativas do setor de engenharia da Contratante.  </w:t>
      </w:r>
    </w:p>
    <w:p w:rsidR="001270F1" w:rsidRPr="001270F1" w:rsidRDefault="001270F1">
      <w:pPr>
        <w:jc w:val="both"/>
        <w:rPr>
          <w:rFonts w:ascii="Arial" w:hAnsi="Arial" w:cs="Arial"/>
          <w:sz w:val="24"/>
          <w:szCs w:val="24"/>
        </w:rPr>
      </w:pPr>
    </w:p>
    <w:p w:rsidR="001270F1" w:rsidRDefault="00002271">
      <w:pPr>
        <w:jc w:val="both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>Cláusula Segunda:</w:t>
      </w:r>
      <w:r w:rsidR="001270F1">
        <w:rPr>
          <w:rFonts w:ascii="Arial" w:hAnsi="Arial" w:cs="Arial"/>
          <w:sz w:val="24"/>
          <w:szCs w:val="24"/>
        </w:rPr>
        <w:t xml:space="preserve"> </w:t>
      </w:r>
      <w:r w:rsidRPr="001270F1">
        <w:rPr>
          <w:rFonts w:ascii="Arial" w:hAnsi="Arial" w:cs="Arial"/>
          <w:sz w:val="24"/>
          <w:szCs w:val="24"/>
        </w:rPr>
        <w:t xml:space="preserve">Fica suprimido o valor global da cláusula quinta do Contrato nº70/2022 em R$15.524,80 (quinze mil, quinhentos e vinte e quatro reais e oitenta centavos), em conformidade com a planilha e justificativa de supressão do setor de engenharia da Contratante. </w:t>
      </w:r>
    </w:p>
    <w:p w:rsidR="001270F1" w:rsidRPr="001270F1" w:rsidRDefault="001270F1">
      <w:pPr>
        <w:jc w:val="both"/>
        <w:rPr>
          <w:rFonts w:ascii="Arial" w:hAnsi="Arial" w:cs="Arial"/>
          <w:sz w:val="24"/>
          <w:szCs w:val="24"/>
        </w:rPr>
      </w:pPr>
    </w:p>
    <w:p w:rsidR="00C906AF" w:rsidRDefault="00002271">
      <w:pPr>
        <w:jc w:val="both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 xml:space="preserve">Cláusula Terceira: Considerando o Aditivo e a </w:t>
      </w:r>
      <w:proofErr w:type="gramStart"/>
      <w:r w:rsidRPr="001270F1">
        <w:rPr>
          <w:rFonts w:ascii="Arial" w:hAnsi="Arial" w:cs="Arial"/>
          <w:sz w:val="24"/>
          <w:szCs w:val="24"/>
        </w:rPr>
        <w:t>Supressão  o</w:t>
      </w:r>
      <w:proofErr w:type="gramEnd"/>
      <w:r w:rsidRPr="001270F1">
        <w:rPr>
          <w:rFonts w:ascii="Arial" w:hAnsi="Arial" w:cs="Arial"/>
          <w:sz w:val="24"/>
          <w:szCs w:val="24"/>
        </w:rPr>
        <w:t xml:space="preserve"> valor global do Contrato nº70/2022  será aditivado em R$ 182.297,93 (cento e oitenta e dois mil, duzentos e noventa </w:t>
      </w:r>
      <w:r w:rsidR="001270F1" w:rsidRPr="001270F1">
        <w:rPr>
          <w:rFonts w:ascii="Arial" w:hAnsi="Arial" w:cs="Arial"/>
          <w:sz w:val="24"/>
          <w:szCs w:val="24"/>
        </w:rPr>
        <w:t>e sete reais e noventa e três ce</w:t>
      </w:r>
      <w:r w:rsidRPr="001270F1">
        <w:rPr>
          <w:rFonts w:ascii="Arial" w:hAnsi="Arial" w:cs="Arial"/>
          <w:sz w:val="24"/>
          <w:szCs w:val="24"/>
        </w:rPr>
        <w:t>ntavos),  passando de R$</w:t>
      </w:r>
      <w:r w:rsidR="001270F1" w:rsidRPr="001270F1">
        <w:rPr>
          <w:rFonts w:ascii="Arial" w:hAnsi="Arial" w:cs="Arial"/>
          <w:sz w:val="24"/>
          <w:szCs w:val="24"/>
        </w:rPr>
        <w:t xml:space="preserve"> </w:t>
      </w:r>
      <w:r w:rsidR="001270F1" w:rsidRPr="001270F1">
        <w:rPr>
          <w:rFonts w:ascii="Arial" w:hAnsi="Arial" w:cs="Arial"/>
          <w:sz w:val="24"/>
          <w:szCs w:val="24"/>
          <w:lang w:eastAsia="pt-BR"/>
        </w:rPr>
        <w:t>3.344.983,65(três milhões, trezentos e quarenta e quatro mil novecentos e oitenta e três reais e sessenta e cinco centavos), para R$3.527.281,58 (três milhões quinhentos e vinte e sete mil duzentos e oitenta e um reais e cinquenta e oito centavos)</w:t>
      </w:r>
      <w:r w:rsidRPr="001270F1">
        <w:rPr>
          <w:rFonts w:ascii="Arial" w:hAnsi="Arial" w:cs="Arial"/>
          <w:sz w:val="24"/>
          <w:szCs w:val="24"/>
        </w:rPr>
        <w:t xml:space="preserve"> </w:t>
      </w:r>
      <w:r w:rsidR="00D511F4">
        <w:rPr>
          <w:rFonts w:ascii="Arial" w:hAnsi="Arial" w:cs="Arial"/>
          <w:sz w:val="24"/>
          <w:szCs w:val="24"/>
        </w:rPr>
        <w:t>.</w:t>
      </w:r>
    </w:p>
    <w:p w:rsidR="00D511F4" w:rsidRDefault="00D511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Cláusula Quarta: Para fins de análise de limites de aditivo, tanto para acréscimos quanto para supressões, serão considerados os valores individualmente estabelecidos nas cláusulas primeira e segunda, não aplicando-se a compensação entre o acréscimo e a supressão mencionados neste instrumento.</w:t>
      </w:r>
    </w:p>
    <w:p w:rsidR="001270F1" w:rsidRPr="001270F1" w:rsidRDefault="001270F1">
      <w:pPr>
        <w:jc w:val="both"/>
        <w:rPr>
          <w:rFonts w:ascii="Arial" w:hAnsi="Arial" w:cs="Arial"/>
          <w:sz w:val="24"/>
          <w:szCs w:val="24"/>
        </w:rPr>
      </w:pPr>
    </w:p>
    <w:p w:rsidR="00C906AF" w:rsidRPr="001270F1" w:rsidRDefault="00002271">
      <w:pPr>
        <w:jc w:val="both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 xml:space="preserve">Cláusula </w:t>
      </w:r>
      <w:r w:rsidR="001270F1" w:rsidRPr="001270F1">
        <w:rPr>
          <w:rFonts w:ascii="Arial" w:hAnsi="Arial" w:cs="Arial"/>
          <w:sz w:val="24"/>
          <w:szCs w:val="24"/>
        </w:rPr>
        <w:t>Q</w:t>
      </w:r>
      <w:r w:rsidR="00D511F4">
        <w:rPr>
          <w:rFonts w:ascii="Arial" w:hAnsi="Arial" w:cs="Arial"/>
          <w:sz w:val="24"/>
          <w:szCs w:val="24"/>
        </w:rPr>
        <w:t>uinta</w:t>
      </w:r>
      <w:r w:rsidRPr="001270F1">
        <w:rPr>
          <w:rFonts w:ascii="Arial" w:hAnsi="Arial" w:cs="Arial"/>
          <w:sz w:val="24"/>
          <w:szCs w:val="24"/>
        </w:rPr>
        <w:t xml:space="preserve">: Permanecendo em vigor as demais </w:t>
      </w:r>
      <w:proofErr w:type="gramStart"/>
      <w:r w:rsidRPr="001270F1">
        <w:rPr>
          <w:rFonts w:ascii="Arial" w:hAnsi="Arial" w:cs="Arial"/>
          <w:sz w:val="24"/>
          <w:szCs w:val="24"/>
        </w:rPr>
        <w:t>cláusulas  e</w:t>
      </w:r>
      <w:proofErr w:type="gramEnd"/>
      <w:r w:rsidRPr="001270F1">
        <w:rPr>
          <w:rFonts w:ascii="Arial" w:hAnsi="Arial" w:cs="Arial"/>
          <w:sz w:val="24"/>
          <w:szCs w:val="24"/>
        </w:rPr>
        <w:t xml:space="preserve"> condições  constantes no Contrato Administrativo nº70/2.022 , não alteradas pelo presente instrumento.</w:t>
      </w:r>
    </w:p>
    <w:p w:rsidR="00C906AF" w:rsidRPr="001270F1" w:rsidRDefault="00C906AF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C906AF" w:rsidRDefault="00002271" w:rsidP="001270F1">
      <w:pPr>
        <w:jc w:val="both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>E, por estarem juntos e acordados, firmam o presente em duas vias de igual teor e for</w:t>
      </w:r>
      <w:r w:rsidR="001270F1" w:rsidRPr="001270F1">
        <w:rPr>
          <w:rFonts w:ascii="Arial" w:hAnsi="Arial" w:cs="Arial"/>
          <w:sz w:val="24"/>
          <w:szCs w:val="24"/>
        </w:rPr>
        <w:t>ma</w:t>
      </w:r>
      <w:r w:rsidRPr="001270F1">
        <w:rPr>
          <w:rFonts w:ascii="Arial" w:hAnsi="Arial" w:cs="Arial"/>
          <w:sz w:val="24"/>
          <w:szCs w:val="24"/>
        </w:rPr>
        <w:t xml:space="preserve">, sem emendas ou rasuras, juntamente com duas testemunhas, para que </w:t>
      </w:r>
      <w:proofErr w:type="gramStart"/>
      <w:r w:rsidRPr="001270F1">
        <w:rPr>
          <w:rFonts w:ascii="Arial" w:hAnsi="Arial" w:cs="Arial"/>
          <w:sz w:val="24"/>
          <w:szCs w:val="24"/>
        </w:rPr>
        <w:t>produza  seus</w:t>
      </w:r>
      <w:proofErr w:type="gramEnd"/>
      <w:r w:rsidRPr="001270F1">
        <w:rPr>
          <w:rFonts w:ascii="Arial" w:hAnsi="Arial" w:cs="Arial"/>
          <w:sz w:val="24"/>
          <w:szCs w:val="24"/>
        </w:rPr>
        <w:t xml:space="preserve"> jurídicos e legais efeitos.</w:t>
      </w:r>
    </w:p>
    <w:p w:rsidR="00C906AF" w:rsidRPr="001270F1" w:rsidRDefault="00C906AF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C906AF" w:rsidRPr="001270F1" w:rsidRDefault="001270F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  <w:lang w:eastAsia="pt-BR"/>
        </w:rPr>
        <w:t>Águas</w:t>
      </w:r>
      <w:r w:rsidR="00002271" w:rsidRPr="001270F1">
        <w:rPr>
          <w:rFonts w:ascii="Arial" w:hAnsi="Arial" w:cs="Arial"/>
          <w:sz w:val="24"/>
          <w:szCs w:val="24"/>
          <w:lang w:eastAsia="pt-BR"/>
        </w:rPr>
        <w:t xml:space="preserve"> Frias - SC, </w:t>
      </w:r>
      <w:r w:rsidRPr="001270F1">
        <w:rPr>
          <w:rFonts w:ascii="Arial" w:hAnsi="Arial" w:cs="Arial"/>
          <w:sz w:val="24"/>
          <w:szCs w:val="24"/>
          <w:lang w:eastAsia="pt-BR"/>
        </w:rPr>
        <w:t>1</w:t>
      </w:r>
      <w:r w:rsidR="00D511F4">
        <w:rPr>
          <w:rFonts w:ascii="Arial" w:hAnsi="Arial" w:cs="Arial"/>
          <w:sz w:val="24"/>
          <w:szCs w:val="24"/>
          <w:lang w:eastAsia="pt-BR"/>
        </w:rPr>
        <w:t>9</w:t>
      </w:r>
      <w:r w:rsidRPr="001270F1">
        <w:rPr>
          <w:rFonts w:ascii="Arial" w:hAnsi="Arial" w:cs="Arial"/>
          <w:sz w:val="24"/>
          <w:szCs w:val="24"/>
          <w:lang w:eastAsia="pt-BR"/>
        </w:rPr>
        <w:t xml:space="preserve"> de abril de 2023</w:t>
      </w:r>
    </w:p>
    <w:p w:rsidR="00C906AF" w:rsidRPr="001270F1" w:rsidRDefault="00002271">
      <w:pPr>
        <w:ind w:firstLine="1134"/>
        <w:jc w:val="both"/>
        <w:rPr>
          <w:rFonts w:ascii="Arial" w:eastAsia="Arial" w:hAnsi="Arial" w:cs="Arial"/>
          <w:sz w:val="24"/>
          <w:szCs w:val="24"/>
        </w:rPr>
      </w:pPr>
      <w:r w:rsidRPr="001270F1">
        <w:rPr>
          <w:rFonts w:ascii="Arial" w:eastAsia="Arial" w:hAnsi="Arial" w:cs="Arial"/>
          <w:sz w:val="24"/>
          <w:szCs w:val="24"/>
        </w:rPr>
        <w:t xml:space="preserve"> </w:t>
      </w:r>
    </w:p>
    <w:p w:rsidR="00C906AF" w:rsidRDefault="00C906AF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270F1" w:rsidRDefault="001270F1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C906AF" w:rsidRPr="001270F1" w:rsidRDefault="00002271">
      <w:pPr>
        <w:jc w:val="center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>___________________________________</w:t>
      </w:r>
    </w:p>
    <w:p w:rsidR="00C906AF" w:rsidRPr="001270F1" w:rsidRDefault="00002271">
      <w:pPr>
        <w:jc w:val="center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b/>
          <w:sz w:val="24"/>
          <w:szCs w:val="24"/>
          <w:lang w:eastAsia="pt-BR"/>
        </w:rPr>
        <w:t xml:space="preserve">LUIZ </w:t>
      </w:r>
      <w:proofErr w:type="gramStart"/>
      <w:r w:rsidRPr="001270F1">
        <w:rPr>
          <w:rFonts w:ascii="Arial" w:hAnsi="Arial" w:cs="Arial"/>
          <w:b/>
          <w:sz w:val="24"/>
          <w:szCs w:val="24"/>
          <w:lang w:eastAsia="pt-BR"/>
        </w:rPr>
        <w:t>JOSÉ  DAGA</w:t>
      </w:r>
      <w:proofErr w:type="gramEnd"/>
      <w:r w:rsidRPr="001270F1"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 w:rsidR="00C906AF" w:rsidRPr="001270F1" w:rsidRDefault="00002271">
      <w:pPr>
        <w:jc w:val="center"/>
        <w:rPr>
          <w:rFonts w:ascii="Arial" w:hAnsi="Arial" w:cs="Arial"/>
          <w:sz w:val="24"/>
          <w:szCs w:val="24"/>
          <w:lang w:eastAsia="pt-BR"/>
        </w:rPr>
      </w:pPr>
      <w:r w:rsidRPr="001270F1">
        <w:rPr>
          <w:rFonts w:ascii="Arial" w:hAnsi="Arial" w:cs="Arial"/>
          <w:sz w:val="24"/>
          <w:szCs w:val="24"/>
          <w:lang w:eastAsia="pt-BR"/>
        </w:rPr>
        <w:t xml:space="preserve">PREFEITO </w:t>
      </w:r>
    </w:p>
    <w:p w:rsidR="001270F1" w:rsidRDefault="001270F1">
      <w:pPr>
        <w:rPr>
          <w:rFonts w:ascii="Arial" w:hAnsi="Arial" w:cs="Arial"/>
          <w:sz w:val="24"/>
          <w:szCs w:val="24"/>
        </w:rPr>
      </w:pPr>
    </w:p>
    <w:p w:rsidR="001270F1" w:rsidRDefault="001270F1">
      <w:pPr>
        <w:rPr>
          <w:rFonts w:ascii="Arial" w:hAnsi="Arial" w:cs="Arial"/>
          <w:sz w:val="24"/>
          <w:szCs w:val="24"/>
        </w:rPr>
      </w:pPr>
    </w:p>
    <w:p w:rsidR="001270F1" w:rsidRPr="001270F1" w:rsidRDefault="001270F1">
      <w:pPr>
        <w:rPr>
          <w:rFonts w:ascii="Arial" w:hAnsi="Arial" w:cs="Arial"/>
          <w:sz w:val="24"/>
          <w:szCs w:val="24"/>
        </w:rPr>
      </w:pPr>
    </w:p>
    <w:p w:rsidR="00C906AF" w:rsidRPr="001270F1" w:rsidRDefault="00002271">
      <w:pPr>
        <w:jc w:val="center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>____________________________________</w:t>
      </w:r>
    </w:p>
    <w:p w:rsidR="00C906AF" w:rsidRPr="001270F1" w:rsidRDefault="00002271">
      <w:pPr>
        <w:jc w:val="center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>JOELMA MORETO</w:t>
      </w:r>
    </w:p>
    <w:p w:rsidR="00C906AF" w:rsidRPr="001270F1" w:rsidRDefault="00002271">
      <w:pPr>
        <w:jc w:val="center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>REPRESENTANTE LEGAL</w:t>
      </w:r>
    </w:p>
    <w:p w:rsidR="00C906AF" w:rsidRPr="001270F1" w:rsidRDefault="00C906AF">
      <w:pPr>
        <w:rPr>
          <w:rFonts w:ascii="Arial" w:hAnsi="Arial" w:cs="Arial"/>
          <w:sz w:val="24"/>
          <w:szCs w:val="24"/>
        </w:rPr>
      </w:pPr>
    </w:p>
    <w:p w:rsidR="00C906AF" w:rsidRPr="001270F1" w:rsidRDefault="00C906AF">
      <w:pPr>
        <w:jc w:val="center"/>
        <w:rPr>
          <w:rFonts w:ascii="Arial" w:hAnsi="Arial" w:cs="Arial"/>
          <w:sz w:val="24"/>
          <w:szCs w:val="24"/>
        </w:rPr>
      </w:pPr>
    </w:p>
    <w:p w:rsidR="001270F1" w:rsidRPr="001270F1" w:rsidRDefault="001270F1" w:rsidP="001270F1">
      <w:pPr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>Testemunhas:</w:t>
      </w:r>
    </w:p>
    <w:p w:rsidR="001270F1" w:rsidRPr="001270F1" w:rsidRDefault="001270F1" w:rsidP="00127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1)________________________</w:t>
      </w:r>
      <w:r w:rsidRPr="001270F1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2)_______________________</w:t>
      </w:r>
    </w:p>
    <w:p w:rsidR="001270F1" w:rsidRPr="001270F1" w:rsidRDefault="001270F1" w:rsidP="001270F1">
      <w:pPr>
        <w:rPr>
          <w:sz w:val="24"/>
          <w:szCs w:val="24"/>
        </w:rPr>
      </w:pPr>
      <w:r w:rsidRPr="001270F1">
        <w:rPr>
          <w:rFonts w:ascii="Arial" w:eastAsia="Arial" w:hAnsi="Arial" w:cs="Arial"/>
          <w:sz w:val="24"/>
          <w:szCs w:val="24"/>
        </w:rPr>
        <w:t xml:space="preserve">    </w:t>
      </w:r>
      <w:r w:rsidRPr="001270F1">
        <w:rPr>
          <w:rFonts w:ascii="Arial" w:hAnsi="Arial" w:cs="Arial"/>
          <w:sz w:val="24"/>
          <w:szCs w:val="24"/>
        </w:rPr>
        <w:t xml:space="preserve">Cristiane </w:t>
      </w:r>
      <w:proofErr w:type="spellStart"/>
      <w:r w:rsidRPr="001270F1">
        <w:rPr>
          <w:rFonts w:ascii="Arial" w:hAnsi="Arial" w:cs="Arial"/>
          <w:sz w:val="24"/>
          <w:szCs w:val="24"/>
        </w:rPr>
        <w:t>Rottava</w:t>
      </w:r>
      <w:proofErr w:type="spellEnd"/>
      <w:r w:rsidRPr="001270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70F1">
        <w:rPr>
          <w:rFonts w:ascii="Arial" w:hAnsi="Arial" w:cs="Arial"/>
          <w:sz w:val="24"/>
          <w:szCs w:val="24"/>
        </w:rPr>
        <w:t>Busatto</w:t>
      </w:r>
      <w:proofErr w:type="spellEnd"/>
      <w:r w:rsidRPr="001270F1">
        <w:rPr>
          <w:rFonts w:ascii="Arial" w:hAnsi="Arial" w:cs="Arial"/>
          <w:sz w:val="24"/>
          <w:szCs w:val="24"/>
        </w:rPr>
        <w:tab/>
      </w:r>
      <w:r w:rsidRPr="001270F1">
        <w:rPr>
          <w:rFonts w:ascii="Arial" w:hAnsi="Arial" w:cs="Arial"/>
          <w:sz w:val="24"/>
          <w:szCs w:val="24"/>
        </w:rPr>
        <w:tab/>
      </w:r>
      <w:r w:rsidRPr="001270F1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1270F1">
        <w:rPr>
          <w:rFonts w:ascii="Arial" w:hAnsi="Arial" w:cs="Arial"/>
          <w:sz w:val="24"/>
          <w:szCs w:val="24"/>
        </w:rPr>
        <w:t>Dionei</w:t>
      </w:r>
      <w:proofErr w:type="spellEnd"/>
      <w:r w:rsidRPr="001270F1">
        <w:rPr>
          <w:rFonts w:ascii="Arial" w:hAnsi="Arial" w:cs="Arial"/>
          <w:sz w:val="24"/>
          <w:szCs w:val="24"/>
        </w:rPr>
        <w:t xml:space="preserve"> da Rosa </w:t>
      </w:r>
    </w:p>
    <w:p w:rsidR="001270F1" w:rsidRPr="001270F1" w:rsidRDefault="001270F1" w:rsidP="001270F1">
      <w:pPr>
        <w:rPr>
          <w:sz w:val="24"/>
          <w:szCs w:val="24"/>
        </w:rPr>
      </w:pPr>
      <w:r w:rsidRPr="001270F1">
        <w:rPr>
          <w:rFonts w:ascii="Arial" w:eastAsia="Arial" w:hAnsi="Arial" w:cs="Arial"/>
          <w:sz w:val="24"/>
          <w:szCs w:val="24"/>
        </w:rPr>
        <w:t xml:space="preserve">    </w:t>
      </w:r>
      <w:r w:rsidRPr="001270F1">
        <w:rPr>
          <w:rFonts w:ascii="Arial" w:hAnsi="Arial" w:cs="Arial"/>
          <w:sz w:val="24"/>
          <w:szCs w:val="24"/>
        </w:rPr>
        <w:t>CPF: 037.197.419-40</w:t>
      </w:r>
      <w:r w:rsidRPr="001270F1">
        <w:rPr>
          <w:rFonts w:ascii="Arial" w:hAnsi="Arial" w:cs="Arial"/>
          <w:sz w:val="24"/>
          <w:szCs w:val="24"/>
        </w:rPr>
        <w:tab/>
      </w:r>
      <w:r w:rsidRPr="001270F1">
        <w:rPr>
          <w:rFonts w:ascii="Arial" w:hAnsi="Arial" w:cs="Arial"/>
          <w:sz w:val="24"/>
          <w:szCs w:val="24"/>
        </w:rPr>
        <w:tab/>
      </w:r>
      <w:r w:rsidRPr="001270F1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270F1">
        <w:rPr>
          <w:rFonts w:ascii="Arial" w:hAnsi="Arial" w:cs="Arial"/>
          <w:sz w:val="24"/>
          <w:szCs w:val="24"/>
        </w:rPr>
        <w:t>CPF: 082.226.899-08</w:t>
      </w:r>
    </w:p>
    <w:p w:rsidR="00C906AF" w:rsidRPr="001270F1" w:rsidRDefault="00C906AF">
      <w:pPr>
        <w:rPr>
          <w:rFonts w:ascii="Arial" w:hAnsi="Arial" w:cs="Arial"/>
          <w:sz w:val="24"/>
          <w:szCs w:val="24"/>
        </w:rPr>
      </w:pPr>
    </w:p>
    <w:p w:rsidR="001270F1" w:rsidRDefault="001270F1">
      <w:pPr>
        <w:rPr>
          <w:rFonts w:ascii="Arial" w:hAnsi="Arial" w:cs="Arial"/>
          <w:sz w:val="24"/>
          <w:szCs w:val="24"/>
        </w:rPr>
      </w:pPr>
    </w:p>
    <w:p w:rsidR="001270F1" w:rsidRPr="001270F1" w:rsidRDefault="001270F1">
      <w:pPr>
        <w:rPr>
          <w:rFonts w:ascii="Arial" w:hAnsi="Arial" w:cs="Arial"/>
          <w:sz w:val="24"/>
          <w:szCs w:val="24"/>
        </w:rPr>
      </w:pPr>
    </w:p>
    <w:p w:rsidR="00C906AF" w:rsidRPr="001270F1" w:rsidRDefault="00C906AF">
      <w:pPr>
        <w:rPr>
          <w:rFonts w:ascii="Arial" w:hAnsi="Arial" w:cs="Arial"/>
          <w:sz w:val="24"/>
          <w:szCs w:val="24"/>
        </w:rPr>
      </w:pPr>
    </w:p>
    <w:p w:rsidR="00C906AF" w:rsidRPr="001270F1" w:rsidRDefault="00002271">
      <w:pPr>
        <w:keepNext/>
        <w:jc w:val="center"/>
        <w:outlineLvl w:val="2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 xml:space="preserve">JHONAS PEZZINI </w:t>
      </w:r>
    </w:p>
    <w:p w:rsidR="00C906AF" w:rsidRPr="001270F1" w:rsidRDefault="00002271">
      <w:pPr>
        <w:jc w:val="center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>OAB/SC 33678</w:t>
      </w:r>
    </w:p>
    <w:p w:rsidR="00C906AF" w:rsidRPr="001270F1" w:rsidRDefault="00C906AF">
      <w:pPr>
        <w:rPr>
          <w:rFonts w:ascii="Arial" w:hAnsi="Arial" w:cs="Arial"/>
          <w:sz w:val="24"/>
          <w:szCs w:val="24"/>
        </w:rPr>
      </w:pPr>
    </w:p>
    <w:p w:rsidR="00C906AF" w:rsidRPr="001270F1" w:rsidRDefault="00C906AF">
      <w:pPr>
        <w:rPr>
          <w:rFonts w:ascii="Arial" w:hAnsi="Arial" w:cs="Arial"/>
          <w:sz w:val="24"/>
          <w:szCs w:val="24"/>
        </w:rPr>
      </w:pPr>
    </w:p>
    <w:p w:rsidR="00C906AF" w:rsidRPr="001270F1" w:rsidRDefault="00C906AF">
      <w:pPr>
        <w:rPr>
          <w:rFonts w:ascii="Arial" w:hAnsi="Arial" w:cs="Arial"/>
          <w:sz w:val="24"/>
          <w:szCs w:val="24"/>
        </w:rPr>
      </w:pPr>
    </w:p>
    <w:p w:rsidR="00C906AF" w:rsidRPr="001270F1" w:rsidRDefault="00C906AF">
      <w:pPr>
        <w:rPr>
          <w:rFonts w:ascii="Arial" w:hAnsi="Arial" w:cs="Arial"/>
          <w:sz w:val="24"/>
          <w:szCs w:val="24"/>
        </w:rPr>
      </w:pPr>
    </w:p>
    <w:p w:rsidR="001270F1" w:rsidRPr="001270F1" w:rsidRDefault="001270F1" w:rsidP="001270F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CONTRAT</w:t>
      </w:r>
      <w:r w:rsidRPr="001270F1">
        <w:rPr>
          <w:rFonts w:ascii="Arial" w:hAnsi="Arial" w:cs="Arial"/>
          <w:b/>
          <w:sz w:val="24"/>
          <w:szCs w:val="24"/>
          <w:u w:val="single"/>
        </w:rPr>
        <w:t>O Nº44/2023</w:t>
      </w:r>
    </w:p>
    <w:p w:rsidR="001270F1" w:rsidRPr="001270F1" w:rsidRDefault="001270F1" w:rsidP="001270F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70F1" w:rsidRPr="001270F1" w:rsidRDefault="001270F1" w:rsidP="001270F1">
      <w:pPr>
        <w:ind w:right="-603"/>
        <w:jc w:val="center"/>
        <w:rPr>
          <w:rFonts w:ascii="Arial" w:hAnsi="Arial" w:cs="Arial"/>
          <w:sz w:val="24"/>
          <w:szCs w:val="24"/>
        </w:rPr>
      </w:pPr>
      <w:r w:rsidRPr="001270F1">
        <w:rPr>
          <w:rFonts w:ascii="Arial" w:eastAsia="Arial" w:hAnsi="Arial" w:cs="Arial"/>
          <w:b/>
          <w:sz w:val="24"/>
          <w:szCs w:val="24"/>
          <w:u w:val="single"/>
        </w:rPr>
        <w:t xml:space="preserve"> SEGUNDO</w:t>
      </w:r>
      <w:r w:rsidRPr="001270F1">
        <w:rPr>
          <w:rFonts w:ascii="Arial" w:hAnsi="Arial" w:cs="Arial"/>
          <w:b/>
          <w:sz w:val="24"/>
          <w:szCs w:val="24"/>
          <w:u w:val="single"/>
        </w:rPr>
        <w:t xml:space="preserve">TERMO ADITIVO DE CONTRATO </w:t>
      </w:r>
    </w:p>
    <w:p w:rsidR="001270F1" w:rsidRPr="001270F1" w:rsidRDefault="001270F1">
      <w:pPr>
        <w:ind w:right="-60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06AF" w:rsidRPr="001270F1" w:rsidRDefault="00C906AF">
      <w:pPr>
        <w:ind w:right="-603"/>
        <w:jc w:val="both"/>
        <w:rPr>
          <w:rFonts w:ascii="Arial" w:hAnsi="Arial" w:cs="Arial"/>
          <w:sz w:val="24"/>
          <w:szCs w:val="24"/>
        </w:rPr>
      </w:pPr>
    </w:p>
    <w:p w:rsidR="00C906AF" w:rsidRPr="001270F1" w:rsidRDefault="00002271">
      <w:pPr>
        <w:ind w:right="-603"/>
        <w:jc w:val="both"/>
        <w:rPr>
          <w:rFonts w:ascii="Arial" w:hAnsi="Arial" w:cs="Arial"/>
          <w:sz w:val="24"/>
          <w:szCs w:val="24"/>
        </w:rPr>
      </w:pPr>
      <w:r w:rsidRPr="001270F1">
        <w:rPr>
          <w:rFonts w:ascii="Arial" w:hAnsi="Arial" w:cs="Arial"/>
          <w:sz w:val="24"/>
          <w:szCs w:val="24"/>
        </w:rPr>
        <w:t>CONTRATO Nº 70/2.022 DATA: 06/06/2022</w:t>
      </w:r>
    </w:p>
    <w:p w:rsidR="00C906AF" w:rsidRPr="001270F1" w:rsidRDefault="00C906AF">
      <w:pPr>
        <w:jc w:val="both"/>
        <w:rPr>
          <w:rFonts w:ascii="Arial" w:hAnsi="Arial" w:cs="Arial"/>
          <w:sz w:val="24"/>
          <w:szCs w:val="24"/>
        </w:rPr>
      </w:pPr>
    </w:p>
    <w:p w:rsidR="00C906AF" w:rsidRPr="001270F1" w:rsidRDefault="00002271">
      <w:pPr>
        <w:jc w:val="both"/>
        <w:rPr>
          <w:rFonts w:ascii="Arial" w:hAnsi="Arial" w:cs="Arial"/>
          <w:b/>
          <w:sz w:val="24"/>
          <w:szCs w:val="24"/>
        </w:rPr>
      </w:pPr>
      <w:r w:rsidRPr="001270F1">
        <w:rPr>
          <w:rFonts w:ascii="Arial" w:hAnsi="Arial" w:cs="Arial"/>
          <w:b/>
          <w:sz w:val="24"/>
          <w:szCs w:val="24"/>
        </w:rPr>
        <w:t>PARECER JURÍDICO:</w:t>
      </w:r>
    </w:p>
    <w:p w:rsidR="00C906AF" w:rsidRPr="001270F1" w:rsidRDefault="00C906AF">
      <w:pPr>
        <w:jc w:val="both"/>
        <w:rPr>
          <w:rFonts w:ascii="Arial" w:hAnsi="Arial" w:cs="Arial"/>
          <w:b/>
          <w:sz w:val="24"/>
          <w:szCs w:val="24"/>
        </w:rPr>
      </w:pPr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  <w:r w:rsidRPr="00D511F4">
        <w:rPr>
          <w:sz w:val="21"/>
          <w:szCs w:val="21"/>
        </w:rPr>
        <w:t>Acerca da possibilidade de alteração contratual disserta a Lei 8.666/93:</w:t>
      </w: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r w:rsidRPr="00D511F4">
        <w:rPr>
          <w:rFonts w:eastAsiaTheme="minorHAnsi"/>
          <w:i/>
          <w:sz w:val="21"/>
          <w:szCs w:val="21"/>
          <w:lang w:eastAsia="en-US"/>
        </w:rPr>
        <w:t xml:space="preserve">Art. 65.  Os contratos regidos por esta Lei poderão ser alterados, com as devidas justificativas, nos seguintes casos: </w:t>
      </w: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r w:rsidRPr="00D511F4">
        <w:rPr>
          <w:rFonts w:eastAsiaTheme="minorHAnsi"/>
          <w:i/>
          <w:sz w:val="21"/>
          <w:szCs w:val="21"/>
          <w:lang w:eastAsia="en-US"/>
        </w:rPr>
        <w:t>I - unilateralmente pela Administração:</w:t>
      </w: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bookmarkStart w:id="1" w:name="art65ia"/>
      <w:bookmarkEnd w:id="1"/>
      <w:r w:rsidRPr="00D511F4">
        <w:rPr>
          <w:rFonts w:eastAsiaTheme="minorHAnsi"/>
          <w:i/>
          <w:sz w:val="21"/>
          <w:szCs w:val="21"/>
          <w:lang w:eastAsia="en-US"/>
        </w:rPr>
        <w:t>a) quando houver modificação do projeto ou das especificações, para melhor adequação técnica aos seus objetivos;</w:t>
      </w: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r w:rsidRPr="00D511F4">
        <w:rPr>
          <w:rFonts w:eastAsiaTheme="minorHAnsi"/>
          <w:i/>
          <w:sz w:val="21"/>
          <w:szCs w:val="21"/>
          <w:lang w:eastAsia="en-US"/>
        </w:rPr>
        <w:t>b) quando necessária a modificação do valor contratual em decorrência de acréscimo ou diminuição quantitativa de seu objeto, nos limites permitidos por esta Lei;</w:t>
      </w: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bookmarkStart w:id="2" w:name="art65ii"/>
      <w:bookmarkEnd w:id="2"/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r w:rsidRPr="00D511F4">
        <w:rPr>
          <w:rFonts w:eastAsiaTheme="minorHAnsi"/>
          <w:i/>
          <w:sz w:val="21"/>
          <w:szCs w:val="21"/>
          <w:lang w:eastAsia="en-US"/>
        </w:rPr>
        <w:t>II - por acordo das partes:</w:t>
      </w: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bookmarkStart w:id="3" w:name="art65iia"/>
      <w:bookmarkEnd w:id="3"/>
      <w:r w:rsidRPr="00D511F4">
        <w:rPr>
          <w:rFonts w:eastAsiaTheme="minorHAnsi"/>
          <w:i/>
          <w:sz w:val="21"/>
          <w:szCs w:val="21"/>
          <w:lang w:eastAsia="en-US"/>
        </w:rPr>
        <w:t>a) quando conveniente a substituição da garantia de execução;</w:t>
      </w: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bookmarkStart w:id="4" w:name="art65iib"/>
      <w:bookmarkEnd w:id="4"/>
      <w:r w:rsidRPr="00D511F4">
        <w:rPr>
          <w:rFonts w:eastAsiaTheme="minorHAnsi"/>
          <w:i/>
          <w:sz w:val="21"/>
          <w:szCs w:val="21"/>
          <w:lang w:eastAsia="en-US"/>
        </w:rPr>
        <w:t>b) quando necessária a modificação do regime de execução da obra ou serviço, bem como do modo de fornecimento, em face de verificação técnica da inaplicabilidade dos termos contratuais originários;</w:t>
      </w: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bookmarkStart w:id="5" w:name="art65iic"/>
      <w:bookmarkEnd w:id="5"/>
      <w:r w:rsidRPr="00D511F4">
        <w:rPr>
          <w:rFonts w:eastAsiaTheme="minorHAnsi"/>
          <w:i/>
          <w:sz w:val="21"/>
          <w:szCs w:val="21"/>
          <w:lang w:eastAsia="en-US"/>
        </w:rPr>
        <w:t>c) quando necessária a modificação da forma de pagamento, por imposição de circunstâncias supervenientes, mantido o valor inicial atualizado, vedada a antecipação do pagamento, com relação ao cronograma financeiro fixado, sem a correspondente contraprestação de fornecimento de bens ou execução de obra ou serviço;</w:t>
      </w: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bookmarkStart w:id="6" w:name="art65iid."/>
      <w:bookmarkStart w:id="7" w:name="art65iid"/>
      <w:bookmarkEnd w:id="6"/>
      <w:bookmarkEnd w:id="7"/>
      <w:r w:rsidRPr="00D511F4">
        <w:rPr>
          <w:rFonts w:eastAsiaTheme="minorHAnsi"/>
          <w:i/>
          <w:sz w:val="21"/>
          <w:szCs w:val="21"/>
          <w:lang w:eastAsia="en-US"/>
        </w:rPr>
        <w:t xml:space="preserve">d) para restabelecer a relação que as partes pactuaram inicialmente entre os encargos do contratado e a retribuição da administração para a justa remuneração da obra, serviço ou fornecimento, objetivando a manutenção do equilíbrio econômico-financeiro inicial do contrato, na hipótese de sobrevirem fatos imprevisíveis, ou previsíveis porém de </w:t>
      </w:r>
      <w:proofErr w:type="spellStart"/>
      <w:r w:rsidRPr="00D511F4">
        <w:rPr>
          <w:rFonts w:eastAsiaTheme="minorHAnsi"/>
          <w:i/>
          <w:sz w:val="21"/>
          <w:szCs w:val="21"/>
          <w:lang w:eastAsia="en-US"/>
        </w:rPr>
        <w:t>conseqüências</w:t>
      </w:r>
      <w:proofErr w:type="spellEnd"/>
      <w:r w:rsidRPr="00D511F4">
        <w:rPr>
          <w:rFonts w:eastAsiaTheme="minorHAnsi"/>
          <w:i/>
          <w:sz w:val="21"/>
          <w:szCs w:val="21"/>
          <w:lang w:eastAsia="en-US"/>
        </w:rPr>
        <w:t xml:space="preserve"> incalculáveis, retardadores ou impeditivos da execução do ajustado, ou, ainda, em caso de força maior, caso fortuito ou fato do príncipe, configurando álea econômica extraordinária e extracontratual.                </w:t>
      </w:r>
      <w:hyperlink r:id="rId7" w:anchor="art1" w:history="1">
        <w:r w:rsidRPr="00D511F4">
          <w:rPr>
            <w:rFonts w:eastAsiaTheme="minorHAnsi"/>
            <w:i/>
            <w:sz w:val="21"/>
            <w:szCs w:val="21"/>
            <w:lang w:eastAsia="en-US"/>
          </w:rPr>
          <w:t>(Redação dada pela Lei nº 8.883, de 1994)</w:t>
        </w:r>
      </w:hyperlink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bookmarkStart w:id="8" w:name="art65§1"/>
      <w:bookmarkEnd w:id="8"/>
      <w:r w:rsidRPr="00D511F4">
        <w:rPr>
          <w:rFonts w:eastAsiaTheme="minorHAnsi"/>
          <w:i/>
          <w:sz w:val="21"/>
          <w:szCs w:val="21"/>
          <w:lang w:eastAsia="en-US"/>
        </w:rPr>
        <w:t>§ 1o  O contratado fica obrigado a aceitar, nas mesmas condições contratuais, os acréscimos ou supressões que se fizerem nas obras, serviços ou compras, até 25% (vinte e cinco por cento) do valor inicial atualizado do contrato, e, no caso particular de reforma de edifício ou de equipamento, até o limite de 50% (</w:t>
      </w:r>
      <w:proofErr w:type="spellStart"/>
      <w:r w:rsidRPr="00D511F4">
        <w:rPr>
          <w:rFonts w:eastAsiaTheme="minorHAnsi"/>
          <w:i/>
          <w:sz w:val="21"/>
          <w:szCs w:val="21"/>
          <w:lang w:eastAsia="en-US"/>
        </w:rPr>
        <w:t>cinqüenta</w:t>
      </w:r>
      <w:proofErr w:type="spellEnd"/>
      <w:r w:rsidRPr="00D511F4">
        <w:rPr>
          <w:rFonts w:eastAsiaTheme="minorHAnsi"/>
          <w:i/>
          <w:sz w:val="21"/>
          <w:szCs w:val="21"/>
          <w:lang w:eastAsia="en-US"/>
        </w:rPr>
        <w:t xml:space="preserve"> por cento) para os seus acréscimos.</w:t>
      </w: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bookmarkStart w:id="9" w:name="art65§2."/>
      <w:bookmarkStart w:id="10" w:name="art65§2"/>
      <w:bookmarkEnd w:id="9"/>
      <w:bookmarkEnd w:id="10"/>
      <w:r w:rsidRPr="00D511F4">
        <w:rPr>
          <w:rFonts w:eastAsiaTheme="minorHAnsi"/>
          <w:i/>
          <w:sz w:val="21"/>
          <w:szCs w:val="21"/>
          <w:lang w:eastAsia="en-US"/>
        </w:rPr>
        <w:t>§ 2</w:t>
      </w:r>
      <w:proofErr w:type="gramStart"/>
      <w:r w:rsidRPr="00D511F4">
        <w:rPr>
          <w:rFonts w:eastAsiaTheme="minorHAnsi"/>
          <w:i/>
          <w:sz w:val="21"/>
          <w:szCs w:val="21"/>
          <w:lang w:eastAsia="en-US"/>
        </w:rPr>
        <w:t>o  Nenhum</w:t>
      </w:r>
      <w:proofErr w:type="gramEnd"/>
      <w:r w:rsidRPr="00D511F4">
        <w:rPr>
          <w:rFonts w:eastAsiaTheme="minorHAnsi"/>
          <w:i/>
          <w:sz w:val="21"/>
          <w:szCs w:val="21"/>
          <w:lang w:eastAsia="en-US"/>
        </w:rPr>
        <w:t xml:space="preserve"> acréscimo ou supressão poderá exceder os limites estabelecidos no parágrafo anterior, salvo:             </w:t>
      </w:r>
      <w:hyperlink r:id="rId8" w:anchor="art65%C2%A72" w:history="1">
        <w:r w:rsidRPr="00D511F4">
          <w:rPr>
            <w:rFonts w:eastAsiaTheme="minorHAnsi"/>
            <w:i/>
            <w:sz w:val="21"/>
            <w:szCs w:val="21"/>
            <w:lang w:eastAsia="en-US"/>
          </w:rPr>
          <w:t>(Redação dada pela Lei nº 9.648, de 1998)</w:t>
        </w:r>
      </w:hyperlink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bookmarkStart w:id="11" w:name="art65§2i"/>
      <w:bookmarkStart w:id="12" w:name="art65§2ii"/>
      <w:bookmarkEnd w:id="11"/>
      <w:bookmarkEnd w:id="12"/>
      <w:r w:rsidRPr="00D511F4">
        <w:rPr>
          <w:rFonts w:eastAsiaTheme="minorHAnsi"/>
          <w:i/>
          <w:sz w:val="21"/>
          <w:szCs w:val="21"/>
          <w:lang w:eastAsia="en-US"/>
        </w:rPr>
        <w:t>II - as supressões resultantes de acordo celebrado entre os contratantes.               </w:t>
      </w:r>
      <w:hyperlink r:id="rId9" w:anchor="art65%C2%A72" w:history="1">
        <w:r w:rsidRPr="00D511F4">
          <w:rPr>
            <w:rFonts w:eastAsiaTheme="minorHAnsi"/>
            <w:i/>
            <w:sz w:val="21"/>
            <w:szCs w:val="21"/>
            <w:lang w:eastAsia="en-US"/>
          </w:rPr>
          <w:t>(Incluído pela Lei nº 9.648, de 1998)</w:t>
        </w:r>
      </w:hyperlink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  <w:bookmarkStart w:id="13" w:name="art65§3"/>
      <w:bookmarkEnd w:id="13"/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  <w:r w:rsidRPr="00D511F4">
        <w:rPr>
          <w:sz w:val="21"/>
          <w:szCs w:val="21"/>
        </w:rPr>
        <w:lastRenderedPageBreak/>
        <w:t>Note-se que a legislação impõe limites para a alteração contratual. No caso em apreço (obra), os acréscimos devem respeitar o limite de 25% sobre o valor inicial atualizado do contrato. As supressões também devem seguir o mesmo limite (25%), a não ser que haja comum acordo entre as partes para redução, quando então a supressão pode superar o limite de 25%.</w:t>
      </w:r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  <w:r w:rsidRPr="00D511F4">
        <w:rPr>
          <w:sz w:val="21"/>
          <w:szCs w:val="21"/>
        </w:rPr>
        <w:t>Quanto à possibilidade de compensação entre acréscimos e supressões para calcular o valor do aditivo contratual, tenho que é prática não recomendada. Tratando sobre tema, o Tribunal de Contas da União firmou orientação de que o limite de 25% deve ser aplicado individualmente para acréscimos e supressões. A Lei nº 8.666/93 autoriza acréscimos em até 25%. Igualmente, permite supressões unilaterais na mesma proporção. Logo, não se admite a compensação entre acréscimos e supressões. Assim, mesmo que ao realizar um acréscimo de 50% e uma supressão de 50% o valor do contrato não sofra alteração, o contrato foi alterado, e essas duas modificações contratuais violam os limites legais. Nesse sentido é a orientação do Plenário no Acórdão nº 2.059/2013:</w:t>
      </w:r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</w:p>
    <w:p w:rsidR="00D511F4" w:rsidRPr="00D511F4" w:rsidRDefault="00D511F4" w:rsidP="00D511F4">
      <w:pPr>
        <w:pStyle w:val="NormalWeb"/>
        <w:spacing w:before="0" w:beforeAutospacing="0" w:after="0" w:afterAutospacing="0"/>
        <w:ind w:firstLine="1134"/>
        <w:jc w:val="both"/>
        <w:rPr>
          <w:rFonts w:eastAsiaTheme="minorHAnsi"/>
          <w:i/>
          <w:sz w:val="21"/>
          <w:szCs w:val="21"/>
          <w:lang w:eastAsia="en-US"/>
        </w:rPr>
      </w:pPr>
      <w:r w:rsidRPr="00D511F4">
        <w:rPr>
          <w:rFonts w:eastAsiaTheme="minorHAnsi"/>
          <w:i/>
          <w:sz w:val="21"/>
          <w:szCs w:val="21"/>
          <w:lang w:eastAsia="en-US"/>
        </w:rPr>
        <w:t>Os limites de aditamento estabelecidos no art. 65, inciso II, § 1º, da Lei nº 8.666/93 devem considerar a vedação da compensação entre acréscimos e supressões de serviços, consoante a jurisprudência deste Tribunal, consubstanciada, por exemplo, pelos Acórdãos nº 749/2010, 1.599/2010, 2.819/2011 e 2.530/2011, todos do Plenário.</w:t>
      </w:r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  <w:r w:rsidRPr="00D511F4">
        <w:rPr>
          <w:sz w:val="21"/>
          <w:szCs w:val="21"/>
        </w:rPr>
        <w:t>No mesmo sentido:</w:t>
      </w:r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  <w:r w:rsidRPr="00D511F4">
        <w:rPr>
          <w:i/>
          <w:iCs/>
          <w:sz w:val="21"/>
          <w:szCs w:val="21"/>
        </w:rPr>
        <w:t xml:space="preserve">[…] para efeito de observância dos limites de alterações contratuais previstos no art. 65 da Lei nº 8.666/1993, passe a considerar as reduções ou supressões de quantitativos de forma isolada, ou seja, o conjunto de reduções e o conjunto de acréscimos devem ser sempre calculados sobre o valor original do contrato, aplicando-se a cada um desses conjuntos, individualmente e sem nenhum tipo de compensação entre eles, os limites de alteração estabelecidos no dispositivo legal. (TCU. Acórdão nº 591/2011, Plenário. Rel. Min. Augusto </w:t>
      </w:r>
      <w:proofErr w:type="spellStart"/>
      <w:r w:rsidRPr="00D511F4">
        <w:rPr>
          <w:i/>
          <w:iCs/>
          <w:sz w:val="21"/>
          <w:szCs w:val="21"/>
        </w:rPr>
        <w:t>Nardes</w:t>
      </w:r>
      <w:proofErr w:type="spellEnd"/>
      <w:r w:rsidRPr="00D511F4">
        <w:rPr>
          <w:i/>
          <w:iCs/>
          <w:sz w:val="21"/>
          <w:szCs w:val="21"/>
        </w:rPr>
        <w:t>. DOU, 21 mar. 2011)</w:t>
      </w:r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  <w:r w:rsidRPr="00D511F4">
        <w:rPr>
          <w:sz w:val="21"/>
          <w:szCs w:val="21"/>
        </w:rPr>
        <w:t>Desta feita, no caso em apreço, o valor do acréscimo e a supressão devem ser calculados individualmente para fins de análise do limite de aditivo, bem como para futuros e eventuais aditivos.</w:t>
      </w:r>
    </w:p>
    <w:p w:rsidR="00D511F4" w:rsidRP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</w:p>
    <w:p w:rsid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  <w:r w:rsidRPr="00D511F4">
        <w:rPr>
          <w:sz w:val="21"/>
          <w:szCs w:val="21"/>
        </w:rPr>
        <w:t xml:space="preserve">Ante o exposto, porque observado os limites do artigo 65, § 1º, da Lei 8.666/93, </w:t>
      </w:r>
      <w:r w:rsidR="00002271" w:rsidRPr="00D511F4">
        <w:rPr>
          <w:sz w:val="21"/>
          <w:szCs w:val="21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D511F4" w:rsidRDefault="00D511F4" w:rsidP="00D511F4">
      <w:pPr>
        <w:spacing w:line="288" w:lineRule="auto"/>
        <w:ind w:firstLine="1134"/>
        <w:jc w:val="both"/>
        <w:rPr>
          <w:sz w:val="21"/>
          <w:szCs w:val="21"/>
        </w:rPr>
      </w:pPr>
    </w:p>
    <w:p w:rsidR="00C906AF" w:rsidRPr="00D511F4" w:rsidRDefault="00002271" w:rsidP="00D511F4">
      <w:pPr>
        <w:spacing w:line="288" w:lineRule="auto"/>
        <w:ind w:firstLine="1134"/>
        <w:jc w:val="both"/>
        <w:rPr>
          <w:sz w:val="21"/>
          <w:szCs w:val="21"/>
        </w:rPr>
      </w:pPr>
      <w:r w:rsidRPr="00D511F4">
        <w:rPr>
          <w:sz w:val="21"/>
          <w:szCs w:val="21"/>
        </w:rPr>
        <w:t>Águas Frias - SC, em 1</w:t>
      </w:r>
      <w:r w:rsidR="00D511F4" w:rsidRPr="00D511F4">
        <w:rPr>
          <w:sz w:val="21"/>
          <w:szCs w:val="21"/>
        </w:rPr>
        <w:t>9</w:t>
      </w:r>
      <w:r w:rsidRPr="00D511F4">
        <w:rPr>
          <w:sz w:val="21"/>
          <w:szCs w:val="21"/>
        </w:rPr>
        <w:t>/04/2023</w:t>
      </w:r>
    </w:p>
    <w:p w:rsidR="00C906AF" w:rsidRPr="00D511F4" w:rsidRDefault="00C906AF">
      <w:pPr>
        <w:jc w:val="both"/>
        <w:rPr>
          <w:sz w:val="21"/>
          <w:szCs w:val="21"/>
        </w:rPr>
      </w:pPr>
    </w:p>
    <w:p w:rsidR="00C906AF" w:rsidRPr="00D511F4" w:rsidRDefault="00C906AF">
      <w:pPr>
        <w:jc w:val="both"/>
        <w:rPr>
          <w:sz w:val="21"/>
          <w:szCs w:val="21"/>
        </w:rPr>
      </w:pPr>
    </w:p>
    <w:p w:rsidR="00C906AF" w:rsidRPr="00D511F4" w:rsidRDefault="00C906AF">
      <w:pPr>
        <w:jc w:val="center"/>
        <w:rPr>
          <w:sz w:val="21"/>
          <w:szCs w:val="21"/>
        </w:rPr>
      </w:pPr>
    </w:p>
    <w:p w:rsidR="00C906AF" w:rsidRPr="00D511F4" w:rsidRDefault="00002271">
      <w:pPr>
        <w:jc w:val="center"/>
        <w:rPr>
          <w:sz w:val="21"/>
          <w:szCs w:val="21"/>
        </w:rPr>
      </w:pPr>
      <w:r w:rsidRPr="00D511F4">
        <w:rPr>
          <w:sz w:val="21"/>
          <w:szCs w:val="21"/>
        </w:rPr>
        <w:t xml:space="preserve">JHONAS PEZZINI </w:t>
      </w:r>
    </w:p>
    <w:p w:rsidR="00C906AF" w:rsidRPr="001270F1" w:rsidRDefault="00002271" w:rsidP="00D511F4">
      <w:pPr>
        <w:jc w:val="center"/>
        <w:rPr>
          <w:rFonts w:ascii="Arial" w:hAnsi="Arial" w:cs="Arial"/>
          <w:sz w:val="24"/>
          <w:szCs w:val="24"/>
        </w:rPr>
      </w:pPr>
      <w:r w:rsidRPr="00D511F4">
        <w:rPr>
          <w:sz w:val="21"/>
          <w:szCs w:val="21"/>
        </w:rPr>
        <w:t>Assessor Jurídico - OAB/SC 33678</w:t>
      </w:r>
    </w:p>
    <w:sectPr w:rsidR="00C906AF" w:rsidRPr="001270F1" w:rsidSect="001270F1">
      <w:headerReference w:type="default" r:id="rId10"/>
      <w:pgSz w:w="12240" w:h="15840"/>
      <w:pgMar w:top="776" w:right="1183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5C" w:rsidRDefault="00D75D5C">
      <w:r>
        <w:separator/>
      </w:r>
    </w:p>
  </w:endnote>
  <w:endnote w:type="continuationSeparator" w:id="0">
    <w:p w:rsidR="00D75D5C" w:rsidRDefault="00D7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5C" w:rsidRDefault="00D75D5C">
      <w:r>
        <w:separator/>
      </w:r>
    </w:p>
  </w:footnote>
  <w:footnote w:type="continuationSeparator" w:id="0">
    <w:p w:rsidR="00D75D5C" w:rsidRDefault="00D7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C906AF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906AF" w:rsidRDefault="00002271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C906AF" w:rsidRDefault="00002271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C906AF" w:rsidRDefault="00002271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C906AF" w:rsidRDefault="00002271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C906AF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906AF" w:rsidRDefault="00C906AF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C906AF" w:rsidRDefault="00002271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C906AF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906AF" w:rsidRDefault="00C906AF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C906AF" w:rsidRDefault="0000227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C906AF" w:rsidRDefault="0000227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C906AF" w:rsidRDefault="00002271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C906AF" w:rsidRDefault="00C906A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C906AF" w:rsidRDefault="00C906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D3785"/>
    <w:multiLevelType w:val="hybridMultilevel"/>
    <w:tmpl w:val="830CC486"/>
    <w:lvl w:ilvl="0" w:tplc="E1B687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AF"/>
    <w:rsid w:val="00002271"/>
    <w:rsid w:val="0007554F"/>
    <w:rsid w:val="001270F1"/>
    <w:rsid w:val="002060F1"/>
    <w:rsid w:val="003064DC"/>
    <w:rsid w:val="007328C8"/>
    <w:rsid w:val="0088089F"/>
    <w:rsid w:val="00C906AF"/>
    <w:rsid w:val="00D511F4"/>
    <w:rsid w:val="00D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3F488-1A32-4166-A528-E6877E51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1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1F4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D511F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511F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88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9648con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creator>a</dc:creator>
  <cp:lastModifiedBy>jefersoneedson@hotmail.com</cp:lastModifiedBy>
  <cp:revision>3</cp:revision>
  <cp:lastPrinted>2023-04-19T11:41:00Z</cp:lastPrinted>
  <dcterms:created xsi:type="dcterms:W3CDTF">2023-04-19T17:35:00Z</dcterms:created>
  <dcterms:modified xsi:type="dcterms:W3CDTF">2023-04-19T17:46:00Z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